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78394" w14:textId="55B22730" w:rsidR="00DF7BE2" w:rsidRPr="00F51D7B" w:rsidRDefault="00DF7BE2" w:rsidP="00DF7BE2">
      <w:pPr>
        <w:pStyle w:val="Heading1"/>
      </w:pPr>
      <w:r w:rsidRPr="00F51D7B">
        <w:t xml:space="preserve">Flexibility </w:t>
      </w:r>
      <w:r>
        <w:t xml:space="preserve">from Power-to-Hydrogen (P2H2) </w:t>
      </w:r>
      <w:r w:rsidR="0056760E">
        <w:t>Webinar</w:t>
      </w:r>
    </w:p>
    <w:p w14:paraId="565EF46D" w14:textId="4CBDB5D8" w:rsidR="0056760E" w:rsidRPr="0063049B" w:rsidRDefault="00DF7BE2" w:rsidP="00C67FB5">
      <w:pPr>
        <w:rPr>
          <w:i/>
          <w:iCs/>
        </w:rPr>
      </w:pPr>
      <w:r w:rsidRPr="00F51D7B">
        <w:rPr>
          <w:i/>
          <w:iCs/>
        </w:rPr>
        <w:t>Online event</w:t>
      </w:r>
      <w:r>
        <w:rPr>
          <w:i/>
          <w:iCs/>
        </w:rPr>
        <w:t xml:space="preserve">, </w:t>
      </w:r>
      <w:r w:rsidR="00FE5288">
        <w:rPr>
          <w:i/>
          <w:iCs/>
        </w:rPr>
        <w:t xml:space="preserve">01 February 2023 </w:t>
      </w:r>
      <w:r w:rsidR="00CE71B4" w:rsidRPr="0063049B">
        <w:rPr>
          <w:i/>
          <w:iCs/>
        </w:rPr>
        <w:t>14</w:t>
      </w:r>
      <w:r w:rsidR="009C6FA8" w:rsidRPr="0063049B">
        <w:rPr>
          <w:i/>
          <w:iCs/>
        </w:rPr>
        <w:t>:</w:t>
      </w:r>
      <w:r w:rsidR="00A06403" w:rsidRPr="0063049B">
        <w:rPr>
          <w:i/>
          <w:iCs/>
        </w:rPr>
        <w:t>3</w:t>
      </w:r>
      <w:r w:rsidR="00CE71B4" w:rsidRPr="0063049B">
        <w:rPr>
          <w:i/>
          <w:iCs/>
        </w:rPr>
        <w:t>0-16</w:t>
      </w:r>
      <w:r w:rsidR="009C6FA8" w:rsidRPr="0063049B">
        <w:rPr>
          <w:i/>
          <w:iCs/>
        </w:rPr>
        <w:t>:</w:t>
      </w:r>
      <w:r w:rsidR="00A06403" w:rsidRPr="0063049B">
        <w:rPr>
          <w:i/>
          <w:iCs/>
        </w:rPr>
        <w:t>3</w:t>
      </w:r>
      <w:r w:rsidR="00CE71B4" w:rsidRPr="0063049B">
        <w:rPr>
          <w:i/>
          <w:iCs/>
        </w:rPr>
        <w:t>0</w:t>
      </w:r>
      <w:r w:rsidRPr="0063049B">
        <w:rPr>
          <w:i/>
          <w:iCs/>
        </w:rPr>
        <w:t>h CET</w:t>
      </w:r>
    </w:p>
    <w:p w14:paraId="65BEFCEE" w14:textId="4F9DA61E" w:rsidR="00DF7BE2" w:rsidRDefault="00DF7BE2" w:rsidP="0056760E">
      <w:pPr>
        <w:autoSpaceDE w:val="0"/>
        <w:autoSpaceDN w:val="0"/>
        <w:adjustRightInd w:val="0"/>
        <w:jc w:val="both"/>
      </w:pPr>
      <w:r>
        <w:t xml:space="preserve">The </w:t>
      </w:r>
      <w:r w:rsidR="0056760E">
        <w:t>webinar</w:t>
      </w:r>
      <w:r>
        <w:t xml:space="preserve"> will focus </w:t>
      </w:r>
      <w:r w:rsidRPr="6A3C5760">
        <w:t xml:space="preserve">on the </w:t>
      </w:r>
      <w:r w:rsidR="005B6BCF">
        <w:t xml:space="preserve">impact of </w:t>
      </w:r>
      <w:r w:rsidR="0056760E">
        <w:t>grid-connected Power-to-Hydrogen (P2H2) capacities</w:t>
      </w:r>
      <w:r w:rsidR="005B6BCF">
        <w:t xml:space="preserve"> on the </w:t>
      </w:r>
      <w:r w:rsidR="0056760E">
        <w:t>electricity</w:t>
      </w:r>
      <w:r w:rsidR="005B6BCF">
        <w:t xml:space="preserve"> system, in terms both of system development planning and operation</w:t>
      </w:r>
      <w:r w:rsidR="0056760E">
        <w:t>s</w:t>
      </w:r>
      <w:r w:rsidR="005B6BCF">
        <w:t xml:space="preserve">, with particular </w:t>
      </w:r>
      <w:r w:rsidR="0056760E">
        <w:t>focus on</w:t>
      </w:r>
      <w:r w:rsidR="005B6BCF">
        <w:t xml:space="preserve"> </w:t>
      </w:r>
      <w:r w:rsidR="0056760E">
        <w:t xml:space="preserve">provision of </w:t>
      </w:r>
      <w:r w:rsidR="005B6BCF">
        <w:t>flexibility</w:t>
      </w:r>
      <w:r w:rsidR="0056760E">
        <w:t xml:space="preserve"> by electrolysers for system services</w:t>
      </w:r>
      <w:r w:rsidR="005B6BCF">
        <w:t xml:space="preserve">. </w:t>
      </w:r>
      <w:r w:rsidR="0056760E" w:rsidRPr="0056760E">
        <w:t xml:space="preserve">The webinar will bring together experts in the field of future of energy systems to exchange on the trends, </w:t>
      </w:r>
      <w:r w:rsidR="00EF3F3B">
        <w:t>perspectives</w:t>
      </w:r>
      <w:r w:rsidR="0056760E" w:rsidRPr="0056760E">
        <w:t xml:space="preserve"> </w:t>
      </w:r>
      <w:r w:rsidR="00EF3F3B">
        <w:t xml:space="preserve">of industrial developers on </w:t>
      </w:r>
      <w:r w:rsidR="0056760E" w:rsidRPr="0056760E">
        <w:t xml:space="preserve">electrolysers projects deployment, technical </w:t>
      </w:r>
      <w:r w:rsidR="0056760E">
        <w:t>assessment</w:t>
      </w:r>
      <w:r w:rsidR="0056760E" w:rsidRPr="0056760E">
        <w:t xml:space="preserve"> of electrolysers, long-term storage potential, an evaluation of the economic viability of grid services from P2H2 and the interaction with suitable market schemes.</w:t>
      </w:r>
      <w:r>
        <w:t xml:space="preserve"> </w:t>
      </w:r>
      <w:r w:rsidR="0056760E">
        <w:t>One of the</w:t>
      </w:r>
      <w:r w:rsidRPr="00553C20">
        <w:t xml:space="preserve"> key objective</w:t>
      </w:r>
      <w:r w:rsidR="0056760E">
        <w:t>s</w:t>
      </w:r>
      <w:r w:rsidRPr="00553C20">
        <w:t xml:space="preserve"> is to create </w:t>
      </w:r>
      <w:r w:rsidR="005B6BCF">
        <w:t xml:space="preserve">a common ground of constructive </w:t>
      </w:r>
      <w:r w:rsidRPr="00553C20">
        <w:t xml:space="preserve">awareness </w:t>
      </w:r>
      <w:r w:rsidR="0056760E">
        <w:t xml:space="preserve">between </w:t>
      </w:r>
      <w:r w:rsidR="0056760E" w:rsidRPr="00553C20">
        <w:t>TSOs</w:t>
      </w:r>
      <w:r w:rsidRPr="00553C20">
        <w:t xml:space="preserve"> and </w:t>
      </w:r>
      <w:r w:rsidR="005B6BCF">
        <w:t xml:space="preserve">industrial </w:t>
      </w:r>
      <w:r w:rsidRPr="00553C20">
        <w:t xml:space="preserve">stakeholders on the extent to which electrolysers (P2H2) </w:t>
      </w:r>
      <w:r w:rsidR="0056760E">
        <w:t>will have an</w:t>
      </w:r>
      <w:r w:rsidR="005B6BCF">
        <w:t xml:space="preserve"> impact on the energy system development, </w:t>
      </w:r>
      <w:proofErr w:type="gramStart"/>
      <w:r w:rsidR="005B6BCF">
        <w:t>in particular with</w:t>
      </w:r>
      <w:proofErr w:type="gramEnd"/>
      <w:r w:rsidR="005B6BCF">
        <w:t xml:space="preserve"> </w:t>
      </w:r>
      <w:r w:rsidRPr="00553C20">
        <w:t>the provision of system services.</w:t>
      </w:r>
    </w:p>
    <w:tbl>
      <w:tblPr>
        <w:tblStyle w:val="ListTable2-Accent1"/>
        <w:tblW w:w="9055" w:type="dxa"/>
        <w:tblLook w:val="04A0" w:firstRow="1" w:lastRow="0" w:firstColumn="1" w:lastColumn="0" w:noHBand="0" w:noVBand="1"/>
      </w:tblPr>
      <w:tblGrid>
        <w:gridCol w:w="567"/>
        <w:gridCol w:w="3420"/>
        <w:gridCol w:w="4093"/>
        <w:gridCol w:w="975"/>
      </w:tblGrid>
      <w:tr w:rsidR="00DF7BE2" w:rsidRPr="00EB5C06" w14:paraId="21F765D5" w14:textId="77777777" w:rsidTr="00176A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14:paraId="26168D42" w14:textId="77777777" w:rsidR="00DF7BE2" w:rsidRPr="00EB5C06" w:rsidRDefault="00DF7BE2">
            <w:pPr>
              <w:rPr>
                <w:sz w:val="20"/>
                <w:szCs w:val="20"/>
              </w:rPr>
            </w:pPr>
            <w:r w:rsidRPr="00EB5C06">
              <w:rPr>
                <w:sz w:val="20"/>
                <w:szCs w:val="20"/>
                <w:lang w:val="en-US"/>
              </w:rPr>
              <w:t>TOP</w:t>
            </w:r>
          </w:p>
        </w:tc>
        <w:tc>
          <w:tcPr>
            <w:tcW w:w="3420" w:type="dxa"/>
            <w:hideMark/>
          </w:tcPr>
          <w:p w14:paraId="4A35E522" w14:textId="77777777" w:rsidR="00DF7BE2" w:rsidRPr="00EB5C06" w:rsidRDefault="00DF7B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C06">
              <w:rPr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4093" w:type="dxa"/>
            <w:hideMark/>
          </w:tcPr>
          <w:p w14:paraId="10A4201F" w14:textId="77777777" w:rsidR="00DF7BE2" w:rsidRPr="00EB5C06" w:rsidRDefault="00DF7B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C06">
              <w:rPr>
                <w:sz w:val="20"/>
                <w:szCs w:val="20"/>
                <w:lang w:val="en-US"/>
              </w:rPr>
              <w:t>Presenter</w:t>
            </w:r>
          </w:p>
        </w:tc>
        <w:tc>
          <w:tcPr>
            <w:tcW w:w="975" w:type="dxa"/>
            <w:hideMark/>
          </w:tcPr>
          <w:p w14:paraId="037105C7" w14:textId="77777777" w:rsidR="00DF7BE2" w:rsidRPr="00EB5C06" w:rsidRDefault="00DF7B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C06">
              <w:rPr>
                <w:sz w:val="20"/>
                <w:szCs w:val="20"/>
                <w:lang w:val="en-US"/>
              </w:rPr>
              <w:t>Time</w:t>
            </w:r>
          </w:p>
        </w:tc>
      </w:tr>
      <w:tr w:rsidR="00DF7BE2" w:rsidRPr="00EB5C06" w14:paraId="4A407D94" w14:textId="77777777" w:rsidTr="00176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14:paraId="2B0A5B3F" w14:textId="77777777" w:rsidR="00DF7BE2" w:rsidRPr="00EB5C06" w:rsidRDefault="00DF7BE2">
            <w:pPr>
              <w:rPr>
                <w:sz w:val="20"/>
                <w:szCs w:val="20"/>
              </w:rPr>
            </w:pPr>
            <w:r w:rsidRPr="00EB5C06">
              <w:rPr>
                <w:color w:val="000000"/>
                <w:sz w:val="20"/>
                <w:szCs w:val="20"/>
                <w:lang w:val="en-US"/>
              </w:rPr>
              <w:t xml:space="preserve">1. </w:t>
            </w:r>
          </w:p>
        </w:tc>
        <w:tc>
          <w:tcPr>
            <w:tcW w:w="3420" w:type="dxa"/>
            <w:hideMark/>
          </w:tcPr>
          <w:p w14:paraId="475B4293" w14:textId="5AF971E3" w:rsidR="00DF7BE2" w:rsidRPr="00EB5C06" w:rsidRDefault="00DF7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C06">
              <w:rPr>
                <w:color w:val="000000"/>
                <w:sz w:val="20"/>
                <w:szCs w:val="20"/>
                <w:lang w:val="en-US"/>
              </w:rPr>
              <w:t>Welcome</w:t>
            </w:r>
            <w:r w:rsidR="00293EF3" w:rsidRPr="00EB5C06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EB5C06" w:rsidRPr="00EB5C06">
              <w:rPr>
                <w:sz w:val="20"/>
                <w:szCs w:val="20"/>
                <w:lang w:val="en-US"/>
              </w:rPr>
              <w:t>and introduction to Flexibility from Power-to-Hydrogen (P2H2)</w:t>
            </w:r>
          </w:p>
        </w:tc>
        <w:tc>
          <w:tcPr>
            <w:tcW w:w="4093" w:type="dxa"/>
          </w:tcPr>
          <w:p w14:paraId="08C2E561" w14:textId="631464E5" w:rsidR="00DF7BE2" w:rsidRDefault="00EB5C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EB5C06">
              <w:rPr>
                <w:sz w:val="20"/>
                <w:szCs w:val="20"/>
              </w:rPr>
              <w:t xml:space="preserve">Opening remarks </w:t>
            </w:r>
            <w:r w:rsidR="003935C6">
              <w:rPr>
                <w:sz w:val="20"/>
                <w:szCs w:val="20"/>
              </w:rPr>
              <w:t xml:space="preserve">on behalf of </w:t>
            </w:r>
            <w:r w:rsidR="003935C6" w:rsidRPr="003935C6">
              <w:rPr>
                <w:sz w:val="20"/>
                <w:szCs w:val="20"/>
              </w:rPr>
              <w:t>Håkon</w:t>
            </w:r>
            <w:r w:rsidR="003935C6" w:rsidRPr="003935C6" w:rsidDel="003935C6">
              <w:rPr>
                <w:sz w:val="20"/>
                <w:szCs w:val="20"/>
              </w:rPr>
              <w:t xml:space="preserve"> </w:t>
            </w:r>
            <w:r w:rsidR="003935C6">
              <w:rPr>
                <w:sz w:val="20"/>
                <w:szCs w:val="20"/>
              </w:rPr>
              <w:t xml:space="preserve">Borgen, </w:t>
            </w:r>
            <w:r w:rsidR="00B478F1">
              <w:rPr>
                <w:sz w:val="20"/>
                <w:szCs w:val="20"/>
              </w:rPr>
              <w:t xml:space="preserve">EBTSO-E </w:t>
            </w:r>
            <w:r w:rsidR="003935C6">
              <w:rPr>
                <w:sz w:val="20"/>
                <w:szCs w:val="20"/>
              </w:rPr>
              <w:t xml:space="preserve">RDIC Chair by </w:t>
            </w:r>
            <w:r w:rsidR="00F035AB">
              <w:rPr>
                <w:sz w:val="20"/>
                <w:szCs w:val="20"/>
              </w:rPr>
              <w:t>Norela Constantinescu</w:t>
            </w:r>
            <w:r w:rsidR="00D63E43" w:rsidRPr="00D63E43"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="00D63E43">
              <w:rPr>
                <w:i/>
                <w:iCs/>
                <w:sz w:val="20"/>
                <w:szCs w:val="20"/>
              </w:rPr>
              <w:t xml:space="preserve"> </w:t>
            </w:r>
            <w:r w:rsidRPr="00EB5C06">
              <w:rPr>
                <w:i/>
                <w:iCs/>
                <w:sz w:val="20"/>
                <w:szCs w:val="20"/>
              </w:rPr>
              <w:t>ENTSO-E</w:t>
            </w:r>
          </w:p>
          <w:p w14:paraId="7F84E1A5" w14:textId="77777777" w:rsidR="003935C6" w:rsidRDefault="00393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315CE35" w14:textId="2FE85801" w:rsidR="00F035AB" w:rsidRPr="00EB5C06" w:rsidRDefault="00F03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3935C6">
              <w:rPr>
                <w:sz w:val="20"/>
                <w:szCs w:val="20"/>
              </w:rPr>
              <w:t>Presentation of agenda &amp; opening poll by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7C59F4" w:rsidRPr="003935C6">
              <w:rPr>
                <w:sz w:val="20"/>
                <w:szCs w:val="20"/>
              </w:rPr>
              <w:t>M</w:t>
            </w:r>
            <w:r w:rsidR="007C59F4">
              <w:rPr>
                <w:sz w:val="20"/>
                <w:szCs w:val="20"/>
              </w:rPr>
              <w:t>oderator</w:t>
            </w:r>
          </w:p>
        </w:tc>
        <w:tc>
          <w:tcPr>
            <w:tcW w:w="975" w:type="dxa"/>
            <w:hideMark/>
          </w:tcPr>
          <w:p w14:paraId="52B8286A" w14:textId="75133FB1" w:rsidR="00DF7BE2" w:rsidRDefault="00EB5C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  <w:r w:rsidRPr="00EB5C06">
              <w:rPr>
                <w:color w:val="000000"/>
                <w:sz w:val="20"/>
                <w:szCs w:val="20"/>
                <w:lang w:val="en-US"/>
              </w:rPr>
              <w:t>1</w:t>
            </w:r>
            <w:r w:rsidR="003935C6">
              <w:rPr>
                <w:color w:val="000000"/>
                <w:sz w:val="20"/>
                <w:szCs w:val="20"/>
                <w:lang w:val="en-US"/>
              </w:rPr>
              <w:t>0</w:t>
            </w:r>
            <w:r w:rsidRPr="00EB5C06">
              <w:rPr>
                <w:color w:val="000000"/>
                <w:sz w:val="20"/>
                <w:szCs w:val="20"/>
                <w:lang w:val="en-US"/>
              </w:rPr>
              <w:t>min</w:t>
            </w:r>
          </w:p>
          <w:p w14:paraId="61C01256" w14:textId="77777777" w:rsidR="003935C6" w:rsidRDefault="00393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</w:p>
          <w:p w14:paraId="71F1F3E8" w14:textId="77777777" w:rsidR="003935C6" w:rsidRDefault="00393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</w:p>
          <w:p w14:paraId="469481B3" w14:textId="465BCC7C" w:rsidR="003935C6" w:rsidRPr="00EB5C06" w:rsidRDefault="00393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5min</w:t>
            </w:r>
          </w:p>
        </w:tc>
      </w:tr>
      <w:tr w:rsidR="00DF7BE2" w:rsidRPr="00EB5C06" w14:paraId="12263AA0" w14:textId="77777777" w:rsidTr="00176AAA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14:paraId="0B2FC5BF" w14:textId="3BF08748" w:rsidR="00DF7BE2" w:rsidRPr="00EB5C06" w:rsidRDefault="00EC13D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  <w:r w:rsidR="00DF7BE2" w:rsidRPr="00EB5C06">
              <w:rPr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3420" w:type="dxa"/>
            <w:hideMark/>
          </w:tcPr>
          <w:p w14:paraId="42C1F6F8" w14:textId="7D66374F" w:rsidR="00DF7BE2" w:rsidRPr="00F12850" w:rsidRDefault="00293E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2850">
              <w:rPr>
                <w:color w:val="000000"/>
                <w:sz w:val="20"/>
                <w:szCs w:val="20"/>
                <w:u w:val="single"/>
              </w:rPr>
              <w:t>Session 1</w:t>
            </w:r>
            <w:r w:rsidR="00DF7BE2" w:rsidRPr="00F12850">
              <w:rPr>
                <w:color w:val="000000"/>
                <w:sz w:val="20"/>
                <w:szCs w:val="20"/>
                <w:u w:val="single"/>
              </w:rPr>
              <w:t>:</w:t>
            </w:r>
            <w:r w:rsidR="00DF7BE2" w:rsidRPr="00F12850">
              <w:rPr>
                <w:color w:val="000000"/>
                <w:sz w:val="20"/>
                <w:szCs w:val="20"/>
              </w:rPr>
              <w:t xml:space="preserve"> </w:t>
            </w:r>
            <w:r w:rsidR="00176AAA" w:rsidRPr="00F12850">
              <w:rPr>
                <w:color w:val="000000"/>
                <w:sz w:val="20"/>
                <w:szCs w:val="20"/>
              </w:rPr>
              <w:t xml:space="preserve">Trends and projects for electrolysers deployment </w:t>
            </w:r>
          </w:p>
        </w:tc>
        <w:tc>
          <w:tcPr>
            <w:tcW w:w="4093" w:type="dxa"/>
          </w:tcPr>
          <w:p w14:paraId="3C2832F0" w14:textId="122B653D" w:rsidR="0051383E" w:rsidRPr="00F12850" w:rsidRDefault="0051383E" w:rsidP="0051383E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2850">
              <w:rPr>
                <w:sz w:val="20"/>
                <w:szCs w:val="20"/>
              </w:rPr>
              <w:t>Hydrogen market deployment and needed infrastructure</w:t>
            </w:r>
            <w:r>
              <w:rPr>
                <w:sz w:val="20"/>
                <w:szCs w:val="20"/>
              </w:rPr>
              <w:t xml:space="preserve"> -</w:t>
            </w:r>
            <w:r w:rsidRPr="00F12850">
              <w:rPr>
                <w:sz w:val="20"/>
                <w:szCs w:val="20"/>
              </w:rPr>
              <w:t xml:space="preserve"> Grzegorz Pawelec,</w:t>
            </w:r>
            <w:r w:rsidRPr="00F12850">
              <w:t xml:space="preserve"> </w:t>
            </w:r>
            <w:r w:rsidRPr="00F12850">
              <w:rPr>
                <w:i/>
                <w:iCs/>
                <w:sz w:val="20"/>
                <w:szCs w:val="20"/>
              </w:rPr>
              <w:t>Hydrogen Europe</w:t>
            </w:r>
            <w:r w:rsidRPr="00F12850">
              <w:rPr>
                <w:sz w:val="20"/>
                <w:szCs w:val="20"/>
              </w:rPr>
              <w:t xml:space="preserve"> </w:t>
            </w:r>
          </w:p>
          <w:p w14:paraId="07F8F3B6" w14:textId="77777777" w:rsidR="00243CFD" w:rsidRDefault="00243CFD" w:rsidP="00176AA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EBCD227" w14:textId="477C55EB" w:rsidR="00176AAA" w:rsidRPr="00F12850" w:rsidRDefault="0051383E" w:rsidP="00176AA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Scaling up green hydrogen production projects to enhance power system flexibility </w:t>
            </w:r>
            <w:r w:rsidR="00A63F57" w:rsidRPr="00F12850">
              <w:rPr>
                <w:sz w:val="20"/>
                <w:szCs w:val="20"/>
              </w:rPr>
              <w:t>- Alexandre</w:t>
            </w:r>
            <w:r w:rsidR="00681D53" w:rsidRPr="00F12850">
              <w:rPr>
                <w:sz w:val="20"/>
                <w:szCs w:val="20"/>
              </w:rPr>
              <w:t xml:space="preserve"> Oudalov</w:t>
            </w:r>
            <w:r w:rsidR="00DF44DD" w:rsidRPr="00F12850">
              <w:rPr>
                <w:sz w:val="20"/>
                <w:szCs w:val="20"/>
              </w:rPr>
              <w:t>,</w:t>
            </w:r>
            <w:r w:rsidR="00681D53" w:rsidRPr="00F12850">
              <w:t xml:space="preserve"> </w:t>
            </w:r>
            <w:r w:rsidR="00176AAA" w:rsidRPr="00F12850">
              <w:rPr>
                <w:i/>
                <w:iCs/>
                <w:sz w:val="20"/>
                <w:szCs w:val="20"/>
              </w:rPr>
              <w:t>T&amp;D Europe</w:t>
            </w:r>
            <w:r w:rsidR="00176AAA" w:rsidRPr="00F12850">
              <w:rPr>
                <w:sz w:val="20"/>
                <w:szCs w:val="20"/>
              </w:rPr>
              <w:t xml:space="preserve"> </w:t>
            </w:r>
          </w:p>
          <w:p w14:paraId="262C65FB" w14:textId="0AC2D3E3" w:rsidR="00EB5C06" w:rsidRPr="00F12850" w:rsidRDefault="00EB5C06" w:rsidP="0051383E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75" w:type="dxa"/>
            <w:hideMark/>
          </w:tcPr>
          <w:p w14:paraId="130BCFC4" w14:textId="4F824308" w:rsidR="00DF7BE2" w:rsidRDefault="00133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 w:rsidR="002E7F62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min</w:t>
            </w:r>
          </w:p>
          <w:p w14:paraId="570E408B" w14:textId="77777777" w:rsidR="001339FA" w:rsidRDefault="00133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</w:p>
          <w:p w14:paraId="171E3975" w14:textId="77777777" w:rsidR="001339FA" w:rsidRDefault="00133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</w:p>
          <w:p w14:paraId="728B5EA7" w14:textId="77777777" w:rsidR="001339FA" w:rsidRDefault="00133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</w:p>
          <w:p w14:paraId="0E59EAF1" w14:textId="77777777" w:rsidR="001339FA" w:rsidRDefault="00133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</w:p>
          <w:p w14:paraId="5B714564" w14:textId="77777777" w:rsidR="001339FA" w:rsidRDefault="00133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10min</w:t>
            </w:r>
          </w:p>
          <w:p w14:paraId="018B77FB" w14:textId="77777777" w:rsidR="001339FA" w:rsidRDefault="00133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9EAEC9A" w14:textId="77777777" w:rsidR="001339FA" w:rsidRDefault="00133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0511884" w14:textId="0B42B092" w:rsidR="001339FA" w:rsidRPr="00EB5C06" w:rsidRDefault="00133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F7BE2" w:rsidRPr="00EB5C06" w14:paraId="419B70DC" w14:textId="77777777" w:rsidTr="00176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14:paraId="5FA3C837" w14:textId="77777777" w:rsidR="00DF7BE2" w:rsidRPr="00EB5C06" w:rsidRDefault="00DF7BE2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2944D9BF" w14:textId="21D49140" w:rsidR="00DF7BE2" w:rsidRPr="00EB5C06" w:rsidRDefault="008A76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PGothic" w:hAnsi="Calibri" w:cs="Calibri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Slido </w:t>
            </w:r>
            <w:r w:rsidR="00DF7BE2" w:rsidRPr="00EB5C06">
              <w:rPr>
                <w:sz w:val="20"/>
                <w:szCs w:val="20"/>
                <w:lang w:val="en-US"/>
              </w:rPr>
              <w:t>Q&amp;A</w:t>
            </w:r>
          </w:p>
        </w:tc>
        <w:tc>
          <w:tcPr>
            <w:tcW w:w="4093" w:type="dxa"/>
          </w:tcPr>
          <w:p w14:paraId="51624037" w14:textId="6497E305" w:rsidR="00DF7BE2" w:rsidRPr="00EC13D4" w:rsidRDefault="00DF7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5" w:type="dxa"/>
            <w:hideMark/>
          </w:tcPr>
          <w:p w14:paraId="414650ED" w14:textId="77777777" w:rsidR="00DF7BE2" w:rsidRPr="00EB5C06" w:rsidRDefault="00DF7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C06">
              <w:rPr>
                <w:sz w:val="20"/>
                <w:szCs w:val="20"/>
                <w:lang w:val="en-US"/>
              </w:rPr>
              <w:t>10 min</w:t>
            </w:r>
          </w:p>
        </w:tc>
      </w:tr>
      <w:tr w:rsidR="00DF7BE2" w:rsidRPr="00EB5C06" w14:paraId="7323A5D6" w14:textId="77777777" w:rsidTr="00176AAA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14:paraId="03457CD2" w14:textId="187C8F02" w:rsidR="00DF7BE2" w:rsidRPr="00EB5C06" w:rsidRDefault="00EC13D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</w:t>
            </w:r>
            <w:r w:rsidR="00DF7BE2" w:rsidRPr="00EB5C06">
              <w:rPr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3420" w:type="dxa"/>
            <w:hideMark/>
          </w:tcPr>
          <w:p w14:paraId="02407B4C" w14:textId="77777777" w:rsidR="00DA5674" w:rsidRPr="00F12850" w:rsidRDefault="002C78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12850">
              <w:rPr>
                <w:color w:val="000000"/>
                <w:sz w:val="20"/>
                <w:szCs w:val="20"/>
                <w:u w:val="single"/>
                <w:lang w:val="en-US"/>
              </w:rPr>
              <w:t>Session 2</w:t>
            </w:r>
            <w:r w:rsidR="00DF7BE2" w:rsidRPr="00F12850">
              <w:rPr>
                <w:color w:val="000000"/>
                <w:sz w:val="20"/>
                <w:szCs w:val="20"/>
                <w:lang w:val="en-US"/>
              </w:rPr>
              <w:t xml:space="preserve">: </w:t>
            </w:r>
            <w:r w:rsidR="00176AAA" w:rsidRPr="00F12850">
              <w:rPr>
                <w:color w:val="000000"/>
                <w:sz w:val="20"/>
                <w:szCs w:val="20"/>
              </w:rPr>
              <w:t xml:space="preserve">Assessment of technical capabilities of electrolysers to provide grid system </w:t>
            </w:r>
            <w:proofErr w:type="gramStart"/>
            <w:r w:rsidR="00176AAA" w:rsidRPr="00F12850">
              <w:rPr>
                <w:color w:val="000000"/>
                <w:sz w:val="20"/>
                <w:szCs w:val="20"/>
              </w:rPr>
              <w:t>services</w:t>
            </w:r>
            <w:proofErr w:type="gramEnd"/>
            <w:r w:rsidR="00176AAA" w:rsidRPr="00F12850">
              <w:rPr>
                <w:color w:val="000000"/>
                <w:sz w:val="20"/>
                <w:szCs w:val="20"/>
              </w:rPr>
              <w:t xml:space="preserve"> </w:t>
            </w:r>
          </w:p>
          <w:p w14:paraId="30D5570C" w14:textId="77777777" w:rsidR="00DA5674" w:rsidRPr="00F12850" w:rsidRDefault="00DA5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  <w:p w14:paraId="45B25EC6" w14:textId="2528F7A9" w:rsidR="00DF7BE2" w:rsidRPr="00F12850" w:rsidRDefault="009B7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12850">
              <w:rPr>
                <w:color w:val="000000"/>
                <w:sz w:val="20"/>
                <w:szCs w:val="20"/>
              </w:rPr>
              <w:t xml:space="preserve">Hydrogen </w:t>
            </w:r>
            <w:r w:rsidR="00DF7BE2" w:rsidRPr="00F12850">
              <w:rPr>
                <w:color w:val="000000"/>
                <w:sz w:val="20"/>
                <w:szCs w:val="20"/>
              </w:rPr>
              <w:t>for long term flexibility</w:t>
            </w:r>
            <w:r w:rsidR="00DA5674" w:rsidRPr="00F12850">
              <w:rPr>
                <w:color w:val="000000"/>
                <w:sz w:val="20"/>
                <w:szCs w:val="20"/>
              </w:rPr>
              <w:t xml:space="preserve"> (Power System View)</w:t>
            </w:r>
          </w:p>
          <w:p w14:paraId="6FED1B9D" w14:textId="77777777" w:rsidR="00DA5674" w:rsidRPr="00F12850" w:rsidRDefault="00DA5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  <w:p w14:paraId="04A2FE55" w14:textId="77777777" w:rsidR="00DA5674" w:rsidRPr="00F12850" w:rsidRDefault="00DA5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  <w:p w14:paraId="1BD2300D" w14:textId="3E6F7BA4" w:rsidR="00DA5674" w:rsidRPr="00F12850" w:rsidRDefault="00ED5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2850">
              <w:rPr>
                <w:color w:val="000000"/>
                <w:sz w:val="20"/>
                <w:szCs w:val="20"/>
              </w:rPr>
              <w:t>H</w:t>
            </w:r>
            <w:r w:rsidR="00A71205" w:rsidRPr="00F12850">
              <w:rPr>
                <w:color w:val="000000"/>
                <w:sz w:val="20"/>
                <w:szCs w:val="20"/>
              </w:rPr>
              <w:t xml:space="preserve">ydrogen </w:t>
            </w:r>
            <w:r w:rsidR="00DA5674" w:rsidRPr="00F12850">
              <w:rPr>
                <w:color w:val="000000"/>
                <w:sz w:val="20"/>
                <w:szCs w:val="20"/>
              </w:rPr>
              <w:t>for long term flexibility (Hydrogen Business View)</w:t>
            </w:r>
          </w:p>
        </w:tc>
        <w:tc>
          <w:tcPr>
            <w:tcW w:w="4093" w:type="dxa"/>
          </w:tcPr>
          <w:p w14:paraId="3198EF1F" w14:textId="36CBC88E" w:rsidR="00DA5674" w:rsidRPr="00F12850" w:rsidRDefault="00DA5674" w:rsidP="00DA567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F12850">
              <w:rPr>
                <w:sz w:val="20"/>
                <w:szCs w:val="20"/>
              </w:rPr>
              <w:t xml:space="preserve">Technical characteristics of electrolyser technology &amp; capabilities of providing system services – </w:t>
            </w:r>
            <w:r w:rsidR="00C53E4C" w:rsidRPr="00F12850">
              <w:rPr>
                <w:sz w:val="20"/>
                <w:szCs w:val="20"/>
              </w:rPr>
              <w:t>Christos Dikaiakos</w:t>
            </w:r>
            <w:r w:rsidRPr="00F12850">
              <w:rPr>
                <w:sz w:val="20"/>
                <w:szCs w:val="20"/>
              </w:rPr>
              <w:t xml:space="preserve">, </w:t>
            </w:r>
            <w:r w:rsidRPr="00F12850">
              <w:rPr>
                <w:i/>
                <w:iCs/>
                <w:sz w:val="20"/>
                <w:szCs w:val="20"/>
              </w:rPr>
              <w:t>ENTSO-E</w:t>
            </w:r>
          </w:p>
          <w:p w14:paraId="3AFF0816" w14:textId="77777777" w:rsidR="00DA5674" w:rsidRPr="00F12850" w:rsidRDefault="00DA5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57D7C31" w14:textId="62298373" w:rsidR="00DF7BE2" w:rsidRPr="00F12850" w:rsidRDefault="002C78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F12850">
              <w:rPr>
                <w:sz w:val="20"/>
                <w:szCs w:val="20"/>
              </w:rPr>
              <w:t xml:space="preserve">P2H2 &amp; VRES Curtailment; </w:t>
            </w:r>
            <w:r w:rsidR="00FE4703" w:rsidRPr="00F12850">
              <w:rPr>
                <w:sz w:val="20"/>
                <w:szCs w:val="20"/>
              </w:rPr>
              <w:t>p</w:t>
            </w:r>
            <w:r w:rsidRPr="00F12850">
              <w:rPr>
                <w:sz w:val="20"/>
                <w:szCs w:val="20"/>
              </w:rPr>
              <w:t xml:space="preserve">otential role of </w:t>
            </w:r>
            <w:r w:rsidR="00FE4703" w:rsidRPr="00F12850">
              <w:rPr>
                <w:sz w:val="20"/>
                <w:szCs w:val="20"/>
              </w:rPr>
              <w:t>h</w:t>
            </w:r>
            <w:r w:rsidRPr="00F12850">
              <w:rPr>
                <w:sz w:val="20"/>
                <w:szCs w:val="20"/>
              </w:rPr>
              <w:t xml:space="preserve">ydrogen </w:t>
            </w:r>
            <w:r w:rsidR="00DA5674" w:rsidRPr="00F12850">
              <w:rPr>
                <w:sz w:val="20"/>
                <w:szCs w:val="20"/>
              </w:rPr>
              <w:t>in the broader energy systema</w:t>
            </w:r>
            <w:r w:rsidRPr="00F12850">
              <w:rPr>
                <w:sz w:val="20"/>
                <w:szCs w:val="20"/>
              </w:rPr>
              <w:t xml:space="preserve"> – </w:t>
            </w:r>
            <w:r w:rsidR="00C53E4C" w:rsidRPr="00F12850">
              <w:rPr>
                <w:sz w:val="20"/>
                <w:szCs w:val="20"/>
              </w:rPr>
              <w:t>Antonio Iliceto</w:t>
            </w:r>
            <w:r w:rsidRPr="00F12850">
              <w:rPr>
                <w:sz w:val="20"/>
                <w:szCs w:val="20"/>
              </w:rPr>
              <w:t xml:space="preserve">, </w:t>
            </w:r>
            <w:r w:rsidRPr="00F12850">
              <w:rPr>
                <w:i/>
                <w:iCs/>
                <w:sz w:val="20"/>
                <w:szCs w:val="20"/>
              </w:rPr>
              <w:t>ENTSO-E</w:t>
            </w:r>
          </w:p>
          <w:p w14:paraId="4143DA64" w14:textId="77777777" w:rsidR="001339FA" w:rsidRPr="00F12850" w:rsidRDefault="00133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  <w:p w14:paraId="4802A0E2" w14:textId="1E1C36A4" w:rsidR="00455D4A" w:rsidRPr="00F12850" w:rsidRDefault="0051383E" w:rsidP="00455D4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Role of Hydrogen storage, transportation and end-use in energy system flexibility </w:t>
            </w:r>
            <w:r w:rsidR="0056760E" w:rsidRPr="00F12850">
              <w:rPr>
                <w:sz w:val="20"/>
                <w:szCs w:val="20"/>
              </w:rPr>
              <w:t>-</w:t>
            </w:r>
            <w:r w:rsidR="00455D4A" w:rsidRPr="00F12850">
              <w:rPr>
                <w:sz w:val="20"/>
                <w:szCs w:val="20"/>
              </w:rPr>
              <w:t xml:space="preserve">   </w:t>
            </w:r>
            <w:r w:rsidR="00C53E4C" w:rsidRPr="00F12850">
              <w:rPr>
                <w:sz w:val="20"/>
                <w:szCs w:val="20"/>
              </w:rPr>
              <w:t xml:space="preserve">Alexandre Oudalov, </w:t>
            </w:r>
            <w:r w:rsidR="00455D4A" w:rsidRPr="00F12850">
              <w:rPr>
                <w:sz w:val="20"/>
                <w:szCs w:val="20"/>
              </w:rPr>
              <w:t>T&amp;D Europe</w:t>
            </w:r>
          </w:p>
          <w:p w14:paraId="3A10B47F" w14:textId="77777777" w:rsidR="0051383E" w:rsidRDefault="00513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6D0BA13" w14:textId="4A6971EE" w:rsidR="002C7848" w:rsidRPr="00F12850" w:rsidRDefault="00200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F12850">
              <w:rPr>
                <w:sz w:val="20"/>
                <w:szCs w:val="20"/>
              </w:rPr>
              <w:t>Hydrogen</w:t>
            </w:r>
            <w:r w:rsidR="00A71205" w:rsidRPr="00F12850">
              <w:rPr>
                <w:sz w:val="20"/>
                <w:szCs w:val="20"/>
              </w:rPr>
              <w:t xml:space="preserve"> as a key enabler of system flexibility and adequacy</w:t>
            </w:r>
            <w:r w:rsidR="002C7848" w:rsidRPr="00F12850">
              <w:rPr>
                <w:sz w:val="20"/>
                <w:szCs w:val="20"/>
              </w:rPr>
              <w:t xml:space="preserve"> </w:t>
            </w:r>
            <w:r w:rsidR="00A71205" w:rsidRPr="00F12850">
              <w:rPr>
                <w:sz w:val="20"/>
                <w:szCs w:val="20"/>
              </w:rPr>
              <w:t>-</w:t>
            </w:r>
            <w:r w:rsidR="00243CFD">
              <w:rPr>
                <w:sz w:val="20"/>
                <w:szCs w:val="20"/>
              </w:rPr>
              <w:t xml:space="preserve"> Joerg Kerlen,</w:t>
            </w:r>
            <w:r w:rsidR="00243CFD" w:rsidRPr="00F12850">
              <w:rPr>
                <w:sz w:val="20"/>
                <w:szCs w:val="20"/>
              </w:rPr>
              <w:t xml:space="preserve"> </w:t>
            </w:r>
            <w:r w:rsidR="002C7848" w:rsidRPr="00F12850">
              <w:rPr>
                <w:i/>
                <w:iCs/>
                <w:sz w:val="20"/>
                <w:szCs w:val="20"/>
              </w:rPr>
              <w:t>Hydrogen Europe</w:t>
            </w:r>
          </w:p>
          <w:p w14:paraId="698A1932" w14:textId="245FB701" w:rsidR="00EA17CA" w:rsidRPr="00F12850" w:rsidRDefault="00EA17CA" w:rsidP="00455D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5" w:type="dxa"/>
            <w:hideMark/>
          </w:tcPr>
          <w:p w14:paraId="13D59828" w14:textId="1032347D" w:rsidR="00DF7BE2" w:rsidRDefault="00133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 w:rsidR="002E7F62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min</w:t>
            </w:r>
          </w:p>
          <w:p w14:paraId="63B45A73" w14:textId="77777777" w:rsidR="001339FA" w:rsidRDefault="00133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</w:p>
          <w:p w14:paraId="0181C6F8" w14:textId="77777777" w:rsidR="001339FA" w:rsidRDefault="00133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</w:p>
          <w:p w14:paraId="1D7C168E" w14:textId="77777777" w:rsidR="001339FA" w:rsidRDefault="00133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</w:p>
          <w:p w14:paraId="322EEACB" w14:textId="77777777" w:rsidR="001339FA" w:rsidRDefault="00133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10min</w:t>
            </w:r>
          </w:p>
          <w:p w14:paraId="1A950112" w14:textId="77777777" w:rsidR="00EA17CA" w:rsidRDefault="00EA1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</w:p>
          <w:p w14:paraId="69DCD0AE" w14:textId="77777777" w:rsidR="00EA17CA" w:rsidRDefault="00EA1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</w:p>
          <w:p w14:paraId="6D45733B" w14:textId="77777777" w:rsidR="00EA17CA" w:rsidRDefault="00EA1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</w:p>
          <w:p w14:paraId="01ACA18F" w14:textId="77777777" w:rsidR="00EA17CA" w:rsidRDefault="00EA1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10min</w:t>
            </w:r>
          </w:p>
          <w:p w14:paraId="1D79A3CC" w14:textId="77777777" w:rsidR="00EC13D4" w:rsidRDefault="00EC1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</w:p>
          <w:p w14:paraId="0CD7D6E4" w14:textId="77777777" w:rsidR="00EC13D4" w:rsidRDefault="00EC1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</w:p>
          <w:p w14:paraId="01636A75" w14:textId="77777777" w:rsidR="0051383E" w:rsidRDefault="00513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</w:p>
          <w:p w14:paraId="17142D01" w14:textId="77777777" w:rsidR="0051383E" w:rsidRDefault="00513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</w:p>
          <w:p w14:paraId="23B97ED1" w14:textId="77777777" w:rsidR="0051383E" w:rsidRDefault="00513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</w:p>
          <w:p w14:paraId="71F58607" w14:textId="141C7B79" w:rsidR="00EC13D4" w:rsidRPr="00EB5C06" w:rsidRDefault="00EC1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 min</w:t>
            </w:r>
          </w:p>
        </w:tc>
      </w:tr>
      <w:tr w:rsidR="00DF7BE2" w:rsidRPr="00EB5C06" w14:paraId="3B4540E0" w14:textId="77777777" w:rsidTr="00176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14:paraId="399E0724" w14:textId="77777777" w:rsidR="00DF7BE2" w:rsidRPr="00EB5C06" w:rsidRDefault="00DF7BE2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7E84C86A" w14:textId="7454F102" w:rsidR="00DF7BE2" w:rsidRPr="00EB5C06" w:rsidRDefault="008A76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PGothic" w:hAnsi="Calibri" w:cs="Calibri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Slido </w:t>
            </w:r>
            <w:r w:rsidR="00DF7BE2" w:rsidRPr="00EB5C06">
              <w:rPr>
                <w:sz w:val="20"/>
                <w:szCs w:val="20"/>
                <w:lang w:val="en-US"/>
              </w:rPr>
              <w:t>Q&amp;A</w:t>
            </w:r>
          </w:p>
        </w:tc>
        <w:tc>
          <w:tcPr>
            <w:tcW w:w="4093" w:type="dxa"/>
          </w:tcPr>
          <w:p w14:paraId="470990A1" w14:textId="6531D807" w:rsidR="00DF7BE2" w:rsidRPr="00EB5C06" w:rsidRDefault="00DF7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5" w:type="dxa"/>
            <w:hideMark/>
          </w:tcPr>
          <w:p w14:paraId="54FE4FB9" w14:textId="77777777" w:rsidR="00DF7BE2" w:rsidRPr="00EB5C06" w:rsidRDefault="00DF7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C06">
              <w:rPr>
                <w:sz w:val="20"/>
                <w:szCs w:val="20"/>
                <w:lang w:val="en-US"/>
              </w:rPr>
              <w:t>10 min</w:t>
            </w:r>
          </w:p>
        </w:tc>
      </w:tr>
      <w:tr w:rsidR="00DF7BE2" w:rsidRPr="00EB5C06" w14:paraId="40869592" w14:textId="77777777" w:rsidTr="00176AAA">
        <w:trPr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14:paraId="6AD6B4F4" w14:textId="1C57E4A6" w:rsidR="00DF7BE2" w:rsidRPr="00EB5C06" w:rsidRDefault="00EC13D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</w:t>
            </w:r>
            <w:r w:rsidR="00DF7BE2" w:rsidRPr="00EB5C06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3420" w:type="dxa"/>
            <w:hideMark/>
          </w:tcPr>
          <w:p w14:paraId="49E8DDD7" w14:textId="7FB2F6AA" w:rsidR="00DF7BE2" w:rsidRPr="00EB5C06" w:rsidRDefault="001F0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C06">
              <w:rPr>
                <w:color w:val="000000"/>
                <w:sz w:val="20"/>
                <w:szCs w:val="20"/>
                <w:u w:val="single"/>
                <w:lang w:val="en-US"/>
              </w:rPr>
              <w:t>Session 3</w:t>
            </w:r>
            <w:r w:rsidR="00DF7BE2" w:rsidRPr="00EB5C06">
              <w:rPr>
                <w:color w:val="000000"/>
                <w:sz w:val="20"/>
                <w:szCs w:val="20"/>
                <w:lang w:val="en-US"/>
              </w:rPr>
              <w:t xml:space="preserve">: </w:t>
            </w:r>
            <w:r w:rsidR="00400227" w:rsidRPr="0059356C">
              <w:rPr>
                <w:color w:val="000000"/>
                <w:sz w:val="20"/>
                <w:szCs w:val="20"/>
              </w:rPr>
              <w:t xml:space="preserve">Electrolyser business models, </w:t>
            </w:r>
            <w:r w:rsidR="00EC13D4">
              <w:rPr>
                <w:color w:val="000000"/>
                <w:sz w:val="20"/>
                <w:szCs w:val="20"/>
              </w:rPr>
              <w:t>b</w:t>
            </w:r>
            <w:r w:rsidR="00400227" w:rsidRPr="0059356C">
              <w:rPr>
                <w:color w:val="000000"/>
                <w:sz w:val="20"/>
                <w:szCs w:val="20"/>
              </w:rPr>
              <w:t xml:space="preserve">arriers, </w:t>
            </w:r>
            <w:r w:rsidR="0056760E">
              <w:rPr>
                <w:color w:val="000000"/>
                <w:sz w:val="20"/>
                <w:szCs w:val="20"/>
              </w:rPr>
              <w:t>assumptions,</w:t>
            </w:r>
            <w:r w:rsidR="00EC13D4">
              <w:rPr>
                <w:color w:val="000000"/>
                <w:sz w:val="20"/>
                <w:szCs w:val="20"/>
              </w:rPr>
              <w:t xml:space="preserve"> </w:t>
            </w:r>
            <w:r w:rsidR="00400227" w:rsidRPr="0059356C">
              <w:rPr>
                <w:color w:val="000000"/>
                <w:sz w:val="20"/>
                <w:szCs w:val="20"/>
              </w:rPr>
              <w:t>and recommendations</w:t>
            </w:r>
            <w:r w:rsidR="00400227" w:rsidRPr="00EB5C0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93" w:type="dxa"/>
          </w:tcPr>
          <w:p w14:paraId="4686661D" w14:textId="528132B1" w:rsidR="00EA17CA" w:rsidRDefault="00EC1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Panel discussion with </w:t>
            </w:r>
            <w:r w:rsidR="00F035AB">
              <w:rPr>
                <w:color w:val="000000"/>
                <w:sz w:val="20"/>
                <w:szCs w:val="20"/>
                <w:u w:val="single"/>
              </w:rPr>
              <w:t>4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 speakers </w:t>
            </w:r>
            <w:r w:rsidR="0056760E">
              <w:rPr>
                <w:color w:val="000000"/>
                <w:sz w:val="20"/>
                <w:szCs w:val="20"/>
                <w:u w:val="single"/>
              </w:rPr>
              <w:t>+ moderation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 by ENTSO-E </w:t>
            </w:r>
          </w:p>
          <w:p w14:paraId="0F25CB92" w14:textId="37FF5D7B" w:rsidR="005B6BCF" w:rsidRPr="00176AAA" w:rsidRDefault="005B6BCF" w:rsidP="005B6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5935BD9" w14:textId="46DE3E38" w:rsidR="001339FA" w:rsidRPr="00EB5C06" w:rsidRDefault="00133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5" w:type="dxa"/>
            <w:hideMark/>
          </w:tcPr>
          <w:p w14:paraId="48CF6B22" w14:textId="72DD0180" w:rsidR="00DF7BE2" w:rsidRDefault="007C5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lastRenderedPageBreak/>
              <w:t>3</w:t>
            </w:r>
            <w:r w:rsidR="00EC13D4">
              <w:rPr>
                <w:color w:val="000000"/>
                <w:sz w:val="20"/>
                <w:szCs w:val="20"/>
                <w:lang w:val="en-US"/>
              </w:rPr>
              <w:t xml:space="preserve">0 </w:t>
            </w:r>
            <w:r w:rsidR="001339FA">
              <w:rPr>
                <w:color w:val="000000"/>
                <w:sz w:val="20"/>
                <w:szCs w:val="20"/>
                <w:lang w:val="en-US"/>
              </w:rPr>
              <w:t>min</w:t>
            </w:r>
          </w:p>
          <w:p w14:paraId="3A0371A2" w14:textId="77777777" w:rsidR="001339FA" w:rsidRDefault="00133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</w:p>
          <w:p w14:paraId="5DE9CEFA" w14:textId="77777777" w:rsidR="001339FA" w:rsidRDefault="00133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US"/>
              </w:rPr>
            </w:pPr>
          </w:p>
          <w:p w14:paraId="0137460A" w14:textId="38421970" w:rsidR="00EA17CA" w:rsidRPr="00EB5C06" w:rsidRDefault="00EA1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F7BE2" w:rsidRPr="00EB5C06" w14:paraId="006F5B5D" w14:textId="77777777" w:rsidTr="00A224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0624D4C4" w14:textId="77777777" w:rsidR="00DF7BE2" w:rsidRPr="00EB5C06" w:rsidRDefault="00DF7BE2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4E031029" w14:textId="77E471C6" w:rsidR="00DF7BE2" w:rsidRPr="00EB5C06" w:rsidRDefault="00DF7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PGothic" w:hAnsi="Calibri" w:cs="Calibri"/>
                <w:sz w:val="20"/>
                <w:szCs w:val="20"/>
              </w:rPr>
            </w:pPr>
          </w:p>
        </w:tc>
        <w:tc>
          <w:tcPr>
            <w:tcW w:w="4093" w:type="dxa"/>
          </w:tcPr>
          <w:p w14:paraId="668FCE22" w14:textId="2401B068" w:rsidR="00DF7BE2" w:rsidRPr="00EB5C06" w:rsidRDefault="00DF7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14:paraId="35E3D501" w14:textId="11EDB371" w:rsidR="00DF7BE2" w:rsidRPr="00EB5C06" w:rsidRDefault="00DF7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F7BE2" w:rsidRPr="00EB5C06" w14:paraId="6C50F2CB" w14:textId="77777777" w:rsidTr="00176AAA">
        <w:trPr>
          <w:trHeight w:val="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14:paraId="6FE28C2F" w14:textId="6709A8ED" w:rsidR="00DF7BE2" w:rsidRPr="00EB5C06" w:rsidRDefault="00EC13D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</w:t>
            </w:r>
            <w:r w:rsidR="00DF7BE2" w:rsidRPr="00EB5C06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3420" w:type="dxa"/>
            <w:hideMark/>
          </w:tcPr>
          <w:p w14:paraId="6128E3E7" w14:textId="3C211FBA" w:rsidR="00DF7BE2" w:rsidRPr="00EB5C06" w:rsidRDefault="00DF7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C06">
              <w:rPr>
                <w:color w:val="000000"/>
                <w:sz w:val="20"/>
                <w:szCs w:val="20"/>
                <w:lang w:val="en-US"/>
              </w:rPr>
              <w:t>General Wrap-up</w:t>
            </w:r>
            <w:r w:rsidR="00A224F7">
              <w:rPr>
                <w:color w:val="000000"/>
                <w:sz w:val="20"/>
                <w:szCs w:val="20"/>
                <w:lang w:val="en-US"/>
              </w:rPr>
              <w:t xml:space="preserve"> and follow-ups</w:t>
            </w:r>
          </w:p>
        </w:tc>
        <w:tc>
          <w:tcPr>
            <w:tcW w:w="4093" w:type="dxa"/>
            <w:hideMark/>
          </w:tcPr>
          <w:p w14:paraId="78BC066E" w14:textId="3FCFA176" w:rsidR="00DF7BE2" w:rsidRPr="00EB5C06" w:rsidRDefault="003A2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Norela Constantinescu, </w:t>
            </w:r>
            <w:r w:rsidR="002E7F62" w:rsidRPr="003A2EE6">
              <w:rPr>
                <w:i/>
                <w:iCs/>
                <w:sz w:val="20"/>
                <w:szCs w:val="20"/>
              </w:rPr>
              <w:t>ENTSO-E</w:t>
            </w:r>
          </w:p>
        </w:tc>
        <w:tc>
          <w:tcPr>
            <w:tcW w:w="975" w:type="dxa"/>
            <w:hideMark/>
          </w:tcPr>
          <w:p w14:paraId="604FB148" w14:textId="51806103" w:rsidR="00DF7BE2" w:rsidRPr="00EB5C06" w:rsidRDefault="007C5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5 </w:t>
            </w:r>
            <w:r w:rsidR="001339FA">
              <w:rPr>
                <w:color w:val="000000"/>
                <w:sz w:val="20"/>
                <w:szCs w:val="20"/>
                <w:lang w:val="en-US"/>
              </w:rPr>
              <w:t>min</w:t>
            </w:r>
          </w:p>
        </w:tc>
      </w:tr>
    </w:tbl>
    <w:p w14:paraId="40AD48B9" w14:textId="77777777" w:rsidR="001339FA" w:rsidRDefault="001339FA">
      <w:pPr>
        <w:rPr>
          <w:b/>
          <w:bCs/>
        </w:rPr>
      </w:pPr>
    </w:p>
    <w:p w14:paraId="12977C4F" w14:textId="77777777" w:rsidR="00575D4E" w:rsidRDefault="00575D4E">
      <w:pPr>
        <w:rPr>
          <w:b/>
          <w:bCs/>
        </w:rPr>
      </w:pPr>
    </w:p>
    <w:p w14:paraId="7014B01E" w14:textId="2790D24D" w:rsidR="00785112" w:rsidRDefault="00785112"/>
    <w:sectPr w:rsidR="00785112">
      <w:footerReference w:type="even" r:id="rId7"/>
      <w:footerReference w:type="firs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AF631" w14:textId="77777777" w:rsidR="000E2E5B" w:rsidRDefault="000E2E5B" w:rsidP="00DF7BE2">
      <w:pPr>
        <w:spacing w:after="0" w:line="240" w:lineRule="auto"/>
      </w:pPr>
      <w:r>
        <w:separator/>
      </w:r>
    </w:p>
  </w:endnote>
  <w:endnote w:type="continuationSeparator" w:id="0">
    <w:p w14:paraId="0E6350A4" w14:textId="77777777" w:rsidR="000E2E5B" w:rsidRDefault="000E2E5B" w:rsidP="00DF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A695B" w14:textId="283B5750" w:rsidR="00050197" w:rsidRDefault="0005019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7916B9C" wp14:editId="3528D05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2" name="Casella di testo 2" descr="ISC - Uso INTERNO / INTERNAL Us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5B9C28" w14:textId="7E82723C" w:rsidR="00050197" w:rsidRPr="00050197" w:rsidRDefault="00050197" w:rsidP="0005019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5019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ISC - Uso INTERNO / 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916B9C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alt="ISC - Uso INTERNO / INTERNAL Us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3D5B9C28" w14:textId="7E82723C" w:rsidR="00050197" w:rsidRPr="00050197" w:rsidRDefault="00050197" w:rsidP="0005019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5019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ISC - Uso INTERNO / 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6A188" w14:textId="53AAAB58" w:rsidR="00050197" w:rsidRDefault="0005019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57C4115" wp14:editId="18312AB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1" name="Casella di testo 1" descr="ISC - Uso INTERNO / INTERNAL Us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AE4158" w14:textId="2C0D7C40" w:rsidR="00050197" w:rsidRPr="00050197" w:rsidRDefault="00050197" w:rsidP="0005019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5019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ISC - Uso INTERNO / 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7C4115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7" type="#_x0000_t202" alt="ISC - Uso INTERNO / INTERNAL Use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04AE4158" w14:textId="2C0D7C40" w:rsidR="00050197" w:rsidRPr="00050197" w:rsidRDefault="00050197" w:rsidP="0005019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5019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ISC - Uso INTERNO / 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56B2C" w14:textId="77777777" w:rsidR="000E2E5B" w:rsidRDefault="000E2E5B" w:rsidP="00DF7BE2">
      <w:pPr>
        <w:spacing w:after="0" w:line="240" w:lineRule="auto"/>
      </w:pPr>
      <w:r>
        <w:separator/>
      </w:r>
    </w:p>
  </w:footnote>
  <w:footnote w:type="continuationSeparator" w:id="0">
    <w:p w14:paraId="021BDE89" w14:textId="77777777" w:rsidR="000E2E5B" w:rsidRDefault="000E2E5B" w:rsidP="00DF7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807B7"/>
    <w:multiLevelType w:val="hybridMultilevel"/>
    <w:tmpl w:val="67129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357A62"/>
    <w:multiLevelType w:val="hybridMultilevel"/>
    <w:tmpl w:val="C9822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6361425">
    <w:abstractNumId w:val="0"/>
  </w:num>
  <w:num w:numId="2" w16cid:durableId="14549096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BE2"/>
    <w:rsid w:val="00050197"/>
    <w:rsid w:val="000834E9"/>
    <w:rsid w:val="000A41E1"/>
    <w:rsid w:val="000E2E5B"/>
    <w:rsid w:val="001339FA"/>
    <w:rsid w:val="00176AAA"/>
    <w:rsid w:val="001C0D50"/>
    <w:rsid w:val="001F0B81"/>
    <w:rsid w:val="00200B19"/>
    <w:rsid w:val="00212F14"/>
    <w:rsid w:val="002144C8"/>
    <w:rsid w:val="00243CFD"/>
    <w:rsid w:val="00293EF3"/>
    <w:rsid w:val="002C004C"/>
    <w:rsid w:val="002C3686"/>
    <w:rsid w:val="002C4A81"/>
    <w:rsid w:val="002C7848"/>
    <w:rsid w:val="002E7F62"/>
    <w:rsid w:val="00366B82"/>
    <w:rsid w:val="003935C6"/>
    <w:rsid w:val="00393FBC"/>
    <w:rsid w:val="003A2EE6"/>
    <w:rsid w:val="003E1996"/>
    <w:rsid w:val="00400227"/>
    <w:rsid w:val="00403C9A"/>
    <w:rsid w:val="004128F1"/>
    <w:rsid w:val="00455D4A"/>
    <w:rsid w:val="004625D8"/>
    <w:rsid w:val="005072EB"/>
    <w:rsid w:val="00512D0C"/>
    <w:rsid w:val="0051383E"/>
    <w:rsid w:val="00514AA5"/>
    <w:rsid w:val="00541006"/>
    <w:rsid w:val="00550579"/>
    <w:rsid w:val="0056760E"/>
    <w:rsid w:val="00575D4E"/>
    <w:rsid w:val="0059356C"/>
    <w:rsid w:val="005B6BCF"/>
    <w:rsid w:val="005D1E16"/>
    <w:rsid w:val="0063049B"/>
    <w:rsid w:val="00681D53"/>
    <w:rsid w:val="006E1476"/>
    <w:rsid w:val="00785112"/>
    <w:rsid w:val="007C59F4"/>
    <w:rsid w:val="008A7688"/>
    <w:rsid w:val="00927B5C"/>
    <w:rsid w:val="009414E6"/>
    <w:rsid w:val="00946E5F"/>
    <w:rsid w:val="009B5755"/>
    <w:rsid w:val="009B76C5"/>
    <w:rsid w:val="009C6FA8"/>
    <w:rsid w:val="00A06403"/>
    <w:rsid w:val="00A224F7"/>
    <w:rsid w:val="00A63F57"/>
    <w:rsid w:val="00A71205"/>
    <w:rsid w:val="00A714F6"/>
    <w:rsid w:val="00A7203B"/>
    <w:rsid w:val="00AB248B"/>
    <w:rsid w:val="00B478F1"/>
    <w:rsid w:val="00BB2E5B"/>
    <w:rsid w:val="00C53E4C"/>
    <w:rsid w:val="00C67FB5"/>
    <w:rsid w:val="00C77FE5"/>
    <w:rsid w:val="00C96392"/>
    <w:rsid w:val="00CE71B4"/>
    <w:rsid w:val="00D63E43"/>
    <w:rsid w:val="00DA5674"/>
    <w:rsid w:val="00DF44DD"/>
    <w:rsid w:val="00DF7BE2"/>
    <w:rsid w:val="00E078FF"/>
    <w:rsid w:val="00E81441"/>
    <w:rsid w:val="00EA00D9"/>
    <w:rsid w:val="00EA17CA"/>
    <w:rsid w:val="00EB5C06"/>
    <w:rsid w:val="00EC13D4"/>
    <w:rsid w:val="00ED5554"/>
    <w:rsid w:val="00EF3F3B"/>
    <w:rsid w:val="00EF5443"/>
    <w:rsid w:val="00F035AB"/>
    <w:rsid w:val="00F12850"/>
    <w:rsid w:val="00F21106"/>
    <w:rsid w:val="00F40575"/>
    <w:rsid w:val="00F50D87"/>
    <w:rsid w:val="00FE4703"/>
    <w:rsid w:val="00FE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124E97"/>
  <w15:chartTrackingRefBased/>
  <w15:docId w15:val="{F1CF310A-A58F-4F1B-A713-787D5681C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BE2"/>
  </w:style>
  <w:style w:type="paragraph" w:styleId="Heading1">
    <w:name w:val="heading 1"/>
    <w:basedOn w:val="Normal"/>
    <w:next w:val="Normal"/>
    <w:link w:val="Heading1Char"/>
    <w:uiPriority w:val="9"/>
    <w:qFormat/>
    <w:rsid w:val="00DF7B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7B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F7B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BE2"/>
  </w:style>
  <w:style w:type="paragraph" w:styleId="ListParagraph">
    <w:name w:val="List Paragraph"/>
    <w:basedOn w:val="Normal"/>
    <w:uiPriority w:val="34"/>
    <w:qFormat/>
    <w:rsid w:val="00DF7BE2"/>
    <w:pPr>
      <w:ind w:left="720"/>
      <w:contextualSpacing/>
    </w:pPr>
  </w:style>
  <w:style w:type="table" w:styleId="TableGrid">
    <w:name w:val="Table Grid"/>
    <w:basedOn w:val="TableNormal"/>
    <w:uiPriority w:val="39"/>
    <w:rsid w:val="00DF7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F7B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BE2"/>
  </w:style>
  <w:style w:type="table" w:styleId="ListTable2-Accent1">
    <w:name w:val="List Table 2 Accent 1"/>
    <w:basedOn w:val="TableNormal"/>
    <w:uiPriority w:val="47"/>
    <w:rsid w:val="00EB5C0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E7F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7F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7F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F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F6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E7F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A17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17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1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Siddhesh Gandhi</dc:creator>
  <cp:keywords/>
  <dc:description/>
  <cp:lastModifiedBy>Siddhesh Gandhi</cp:lastModifiedBy>
  <cp:revision>9</cp:revision>
  <dcterms:created xsi:type="dcterms:W3CDTF">2023-01-16T10:50:00Z</dcterms:created>
  <dcterms:modified xsi:type="dcterms:W3CDTF">2023-01-25T14:57:00Z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ISC - Uso INTERNO / INTERNAL Use</vt:lpwstr>
  </property>
  <property fmtid="{D5CDD505-2E9C-101B-9397-08002B2CF9AE}" pid="5" name="MSIP_Label_d65a070e-ad16-4345-879f-c1de6464f1fb_Enabled">
    <vt:lpwstr>true</vt:lpwstr>
  </property>
  <property fmtid="{D5CDD505-2E9C-101B-9397-08002B2CF9AE}" pid="6" name="MSIP_Label_d65a070e-ad16-4345-879f-c1de6464f1fb_SetDate">
    <vt:lpwstr>2022-12-13T10:33:01Z</vt:lpwstr>
  </property>
  <property fmtid="{D5CDD505-2E9C-101B-9397-08002B2CF9AE}" pid="7" name="MSIP_Label_d65a070e-ad16-4345-879f-c1de6464f1fb_Method">
    <vt:lpwstr>Standard</vt:lpwstr>
  </property>
  <property fmtid="{D5CDD505-2E9C-101B-9397-08002B2CF9AE}" pid="8" name="MSIP_Label_d65a070e-ad16-4345-879f-c1de6464f1fb_Name">
    <vt:lpwstr>USO INTERNO - Con etichetta</vt:lpwstr>
  </property>
  <property fmtid="{D5CDD505-2E9C-101B-9397-08002B2CF9AE}" pid="9" name="MSIP_Label_d65a070e-ad16-4345-879f-c1de6464f1fb_SiteId">
    <vt:lpwstr>eccd734e-7022-4709-aba5-a5dd77929e27</vt:lpwstr>
  </property>
  <property fmtid="{D5CDD505-2E9C-101B-9397-08002B2CF9AE}" pid="10" name="MSIP_Label_d65a070e-ad16-4345-879f-c1de6464f1fb_ActionId">
    <vt:lpwstr>4ebfcc5c-fe41-48aa-b90a-b4ddebfb5fa9</vt:lpwstr>
  </property>
  <property fmtid="{D5CDD505-2E9C-101B-9397-08002B2CF9AE}" pid="11" name="MSIP_Label_d65a070e-ad16-4345-879f-c1de6464f1fb_ContentBits">
    <vt:lpwstr>2</vt:lpwstr>
  </property>
</Properties>
</file>