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84A5B" w14:textId="11940087" w:rsidR="003E6686" w:rsidRDefault="005C6D0D" w:rsidP="00A11510">
      <w:pPr>
        <w:pStyle w:val="Title"/>
        <w:jc w:val="both"/>
      </w:pPr>
      <w:r>
        <w:t xml:space="preserve">guidance on </w:t>
      </w:r>
      <w:r w:rsidR="00BB3342">
        <w:t>Project prioritisation</w:t>
      </w:r>
      <w:r w:rsidR="00917A15">
        <w:t xml:space="preserve"> and planning</w:t>
      </w:r>
      <w:r w:rsidR="00D87A13">
        <w:t xml:space="preserve"> </w:t>
      </w:r>
      <w:r>
        <w:t>for EU implementation projects</w:t>
      </w:r>
    </w:p>
    <w:p w14:paraId="78496E7B" w14:textId="77777777" w:rsidR="00FF451D" w:rsidRDefault="00FF451D" w:rsidP="00A11510">
      <w:pPr>
        <w:jc w:val="both"/>
      </w:pPr>
    </w:p>
    <w:p w14:paraId="7507CE16" w14:textId="14621D7A" w:rsidR="005C6D0D" w:rsidRDefault="00BB3342" w:rsidP="006014D7">
      <w:pPr>
        <w:pStyle w:val="Heading1"/>
        <w:jc w:val="both"/>
      </w:pPr>
      <w:r>
        <w:t>Contex</w:t>
      </w:r>
      <w:r w:rsidR="005C6D0D">
        <w:t>T</w:t>
      </w:r>
    </w:p>
    <w:p w14:paraId="13119D73" w14:textId="6DD9A34D" w:rsidR="001E2735" w:rsidRDefault="001E2735" w:rsidP="001E2735"/>
    <w:p w14:paraId="515AC3A6" w14:textId="6A5120FD" w:rsidR="001E2735" w:rsidRPr="001E2735" w:rsidRDefault="00D00CB0" w:rsidP="0028378E">
      <w:pPr>
        <w:jc w:val="both"/>
      </w:pPr>
      <w:r>
        <w:t>The preparation of this documents stems from discussions held in the Market European Stakeholder Committee (‘MESC’), a forum in which ACER, NRAs, NEMOs, TSOs</w:t>
      </w:r>
      <w:r w:rsidR="00953363">
        <w:t>,</w:t>
      </w:r>
      <w:r>
        <w:t xml:space="preserve"> the EC </w:t>
      </w:r>
      <w:r w:rsidR="00953363">
        <w:t xml:space="preserve">and market </w:t>
      </w:r>
      <w:r>
        <w:t>participa</w:t>
      </w:r>
      <w:r w:rsidR="00953363">
        <w:t>nts take part</w:t>
      </w:r>
      <w:r>
        <w:t xml:space="preserve">. </w:t>
      </w:r>
      <w:r w:rsidR="00AC514A">
        <w:t>Considering the forthcoming challenges linked to the implementation of the single European electricity market</w:t>
      </w:r>
      <w:r>
        <w:t xml:space="preserve">, it has been decided to prepare a process which would allow to better consider </w:t>
      </w:r>
      <w:r w:rsidR="00AC514A">
        <w:t xml:space="preserve">the implementation </w:t>
      </w:r>
      <w:r>
        <w:t xml:space="preserve">constraints in the future allowing for a better long-term planning of such </w:t>
      </w:r>
      <w:r w:rsidR="00AC514A">
        <w:t>projects</w:t>
      </w:r>
      <w:r w:rsidR="00A21EC2">
        <w:t xml:space="preserve"> </w:t>
      </w:r>
      <w:proofErr w:type="gramStart"/>
      <w:r w:rsidR="00A21EC2">
        <w:t>taking into account</w:t>
      </w:r>
      <w:proofErr w:type="gramEnd"/>
      <w:r w:rsidR="00A21EC2">
        <w:t xml:space="preserve"> their overall impact on social welfare</w:t>
      </w:r>
      <w:r>
        <w:t xml:space="preserve">. This document is therefore the </w:t>
      </w:r>
      <w:r w:rsidR="00953363">
        <w:t xml:space="preserve">methodological </w:t>
      </w:r>
      <w:r>
        <w:t xml:space="preserve">deliverable of such decision. </w:t>
      </w:r>
    </w:p>
    <w:p w14:paraId="574FE6DE" w14:textId="1C4A2EC0" w:rsidR="00B54731" w:rsidRDefault="00E83450" w:rsidP="006014D7">
      <w:pPr>
        <w:pStyle w:val="Heading1"/>
        <w:jc w:val="both"/>
      </w:pPr>
      <w:r>
        <w:t>Objective</w:t>
      </w:r>
    </w:p>
    <w:p w14:paraId="64AE476F" w14:textId="77777777" w:rsidR="006F68AE" w:rsidRPr="006F68AE" w:rsidRDefault="006F68AE" w:rsidP="0028378E"/>
    <w:p w14:paraId="2F58B003" w14:textId="6CCC9BF9" w:rsidR="00B54731" w:rsidRDefault="00BB3342" w:rsidP="00A11510">
      <w:pPr>
        <w:jc w:val="both"/>
      </w:pPr>
      <w:r>
        <w:t>This document</w:t>
      </w:r>
      <w:r w:rsidR="00F64EA7">
        <w:t xml:space="preserve"> </w:t>
      </w:r>
      <w:r>
        <w:t xml:space="preserve">lays down the framework for </w:t>
      </w:r>
      <w:r w:rsidR="00F64EA7">
        <w:t>three</w:t>
      </w:r>
      <w:r>
        <w:t xml:space="preserve"> </w:t>
      </w:r>
      <w:r w:rsidR="00F64EA7">
        <w:t xml:space="preserve">interlinked </w:t>
      </w:r>
      <w:r>
        <w:t>processes</w:t>
      </w:r>
      <w:r w:rsidR="00F64EA7">
        <w:t>. F</w:t>
      </w:r>
      <w:r>
        <w:t xml:space="preserve">irst, a new </w:t>
      </w:r>
      <w:r w:rsidR="00AD4E4F">
        <w:t>standard</w:t>
      </w:r>
      <w:r w:rsidR="00F64EA7">
        <w:t xml:space="preserve"> process to prioritise </w:t>
      </w:r>
      <w:r w:rsidR="00D10EE0">
        <w:t>regulatory</w:t>
      </w:r>
      <w:r w:rsidR="00F64EA7">
        <w:t xml:space="preserve"> projects</w:t>
      </w:r>
      <w:r w:rsidR="0056079C">
        <w:t xml:space="preserve"> (Process 1)</w:t>
      </w:r>
      <w:r w:rsidR="00F64EA7">
        <w:t xml:space="preserve">. Second, two processes needed to improve the planning of </w:t>
      </w:r>
      <w:r w:rsidR="00D10EE0">
        <w:t xml:space="preserve">regulatory </w:t>
      </w:r>
      <w:r w:rsidR="00F64EA7">
        <w:t xml:space="preserve">projects: a process aiming at defining the delivery pace of those </w:t>
      </w:r>
      <w:r w:rsidR="00D10EE0">
        <w:t xml:space="preserve">regulatory </w:t>
      </w:r>
      <w:r w:rsidR="00F64EA7">
        <w:t>projects</w:t>
      </w:r>
      <w:r w:rsidR="0056079C">
        <w:t xml:space="preserve"> (Process 2)</w:t>
      </w:r>
      <w:r w:rsidR="00F64EA7">
        <w:t xml:space="preserve"> and then a clarification on the criteria to be considered for defining implementation deadlines of regulatory projects</w:t>
      </w:r>
      <w:r w:rsidR="0056079C">
        <w:t xml:space="preserve"> (Process 3)</w:t>
      </w:r>
      <w:r w:rsidR="00F64EA7">
        <w:t xml:space="preserve">. </w:t>
      </w:r>
    </w:p>
    <w:p w14:paraId="78652300" w14:textId="2D20C70F" w:rsidR="00C60338" w:rsidRDefault="00BB3342" w:rsidP="00A11510">
      <w:pPr>
        <w:jc w:val="both"/>
      </w:pPr>
      <w:r>
        <w:t xml:space="preserve">Starting from observations </w:t>
      </w:r>
      <w:r w:rsidR="007272C9">
        <w:t xml:space="preserve">more </w:t>
      </w:r>
      <w:r>
        <w:t xml:space="preserve">specific to the </w:t>
      </w:r>
      <w:r w:rsidR="000E2F1D">
        <w:t xml:space="preserve">implementation of projects related to the </w:t>
      </w:r>
      <w:r>
        <w:t xml:space="preserve">CACM Regulation, the proposed processes however </w:t>
      </w:r>
      <w:r w:rsidR="00953363">
        <w:t>will encompass</w:t>
      </w:r>
      <w:r>
        <w:t xml:space="preserve"> the regulatory projects of other regulations (EB Regulation, FCA Regulation, …).</w:t>
      </w:r>
    </w:p>
    <w:p w14:paraId="2BB3FB93" w14:textId="296B8936" w:rsidR="00F64EA7" w:rsidRPr="006C6463" w:rsidRDefault="00BB3342" w:rsidP="00A11510">
      <w:pPr>
        <w:jc w:val="both"/>
      </w:pPr>
      <w:r w:rsidRPr="006C6463">
        <w:t>This document</w:t>
      </w:r>
      <w:r w:rsidR="006F28F9">
        <w:t xml:space="preserve"> has been</w:t>
      </w:r>
      <w:r w:rsidR="00D10EE0">
        <w:t xml:space="preserve"> drafted by ACER and NRAs,</w:t>
      </w:r>
      <w:r w:rsidRPr="006C6463">
        <w:t xml:space="preserve"> </w:t>
      </w:r>
      <w:r w:rsidR="00E27169">
        <w:t>discussed,</w:t>
      </w:r>
      <w:r w:rsidR="006F28F9">
        <w:t xml:space="preserve"> and </w:t>
      </w:r>
      <w:r w:rsidR="00E83450">
        <w:rPr>
          <w:highlight w:val="yellow"/>
        </w:rPr>
        <w:t>aligned</w:t>
      </w:r>
      <w:r w:rsidR="00E83450" w:rsidRPr="00D871E3">
        <w:rPr>
          <w:highlight w:val="yellow"/>
        </w:rPr>
        <w:t xml:space="preserve"> </w:t>
      </w:r>
      <w:r w:rsidR="006F28F9" w:rsidRPr="00D871E3">
        <w:rPr>
          <w:highlight w:val="yellow"/>
        </w:rPr>
        <w:t xml:space="preserve">in </w:t>
      </w:r>
      <w:r w:rsidR="006C6463" w:rsidRPr="00D871E3">
        <w:rPr>
          <w:highlight w:val="yellow"/>
        </w:rPr>
        <w:t xml:space="preserve">the MESC </w:t>
      </w:r>
      <w:r w:rsidR="006F28F9" w:rsidRPr="00D871E3">
        <w:rPr>
          <w:highlight w:val="yellow"/>
        </w:rPr>
        <w:t>framework</w:t>
      </w:r>
      <w:r w:rsidR="006C6463" w:rsidRPr="00D871E3">
        <w:rPr>
          <w:highlight w:val="yellow"/>
        </w:rPr>
        <w:t>.</w:t>
      </w:r>
      <w:r w:rsidR="00953363">
        <w:t xml:space="preserve"> Though market participants would have desired the process to be run to assess priorities and possibly reset deadlines on the already congested pipeline of existing projects, they support the framework laid out in this document for future projects.</w:t>
      </w:r>
    </w:p>
    <w:p w14:paraId="32C6F618" w14:textId="77777777" w:rsidR="00FF451D" w:rsidRDefault="00BB3342" w:rsidP="006014D7">
      <w:pPr>
        <w:pStyle w:val="Heading1"/>
        <w:jc w:val="both"/>
      </w:pPr>
      <w:r w:rsidRPr="00914EED">
        <w:t xml:space="preserve">introduction </w:t>
      </w:r>
      <w:r w:rsidR="00D87A13" w:rsidRPr="00914EED">
        <w:t xml:space="preserve">– Why is a project prioritisation </w:t>
      </w:r>
      <w:r w:rsidR="00917A15" w:rsidRPr="00914EED">
        <w:t>and planning</w:t>
      </w:r>
      <w:r w:rsidR="00917A15">
        <w:t xml:space="preserve"> </w:t>
      </w:r>
      <w:r w:rsidR="00D87A13">
        <w:t>framework needed?</w:t>
      </w:r>
    </w:p>
    <w:p w14:paraId="15DBB955" w14:textId="77777777" w:rsidR="00FE7ED8" w:rsidRPr="00FE7ED8" w:rsidRDefault="00FE7ED8" w:rsidP="00A11510">
      <w:pPr>
        <w:jc w:val="both"/>
      </w:pPr>
    </w:p>
    <w:p w14:paraId="2961B7B7" w14:textId="0BB2499E" w:rsidR="00D87A13" w:rsidRDefault="00BB3342" w:rsidP="006014D7">
      <w:pPr>
        <w:pStyle w:val="Heading2"/>
        <w:numPr>
          <w:ilvl w:val="0"/>
          <w:numId w:val="3"/>
        </w:numPr>
        <w:jc w:val="both"/>
      </w:pPr>
      <w:r>
        <w:t xml:space="preserve">Starting point: a </w:t>
      </w:r>
      <w:r w:rsidR="00AC514A">
        <w:t xml:space="preserve">list of implementation projects that is getting longer and </w:t>
      </w:r>
      <w:proofErr w:type="gramStart"/>
      <w:r w:rsidR="00AC514A">
        <w:t>longer</w:t>
      </w:r>
      <w:proofErr w:type="gramEnd"/>
    </w:p>
    <w:p w14:paraId="24D1A60C" w14:textId="77777777" w:rsidR="003D0E97" w:rsidRPr="003D0E97" w:rsidRDefault="003D0E97" w:rsidP="003D0E97"/>
    <w:p w14:paraId="19DBE78A" w14:textId="3B625FB7" w:rsidR="00D87A13" w:rsidRDefault="001E2735" w:rsidP="00930947">
      <w:pPr>
        <w:jc w:val="both"/>
      </w:pPr>
      <w:r>
        <w:t xml:space="preserve">In the context of the implementation of </w:t>
      </w:r>
      <w:r w:rsidR="00AC514A">
        <w:t>the market codes (i.e. the Capacity Allocation and Congestion Management Regulat</w:t>
      </w:r>
      <w:r w:rsidR="008E1BB5">
        <w:t>i</w:t>
      </w:r>
      <w:r w:rsidR="00AC514A">
        <w:t>on (‘CACM Regulation’), Forward Capacity Allocation Regulation (‘FCA Regulation’) and the Electricity Balancing Regulation (‘EB Regulation’)</w:t>
      </w:r>
      <w:r>
        <w:t xml:space="preserve">, </w:t>
      </w:r>
      <w:r w:rsidR="0012102A">
        <w:t>MESC members (hereafter referred to as ‘</w:t>
      </w:r>
      <w:r>
        <w:t>parties</w:t>
      </w:r>
      <w:r w:rsidR="0012102A">
        <w:t>’)</w:t>
      </w:r>
      <w:r>
        <w:t xml:space="preserve"> have observed that the implementation of the requirements set in EU-wide or regional methodologies </w:t>
      </w:r>
      <w:r w:rsidR="00360D57">
        <w:t xml:space="preserve">was </w:t>
      </w:r>
      <w:r>
        <w:t>facing delays</w:t>
      </w:r>
      <w:r w:rsidR="00BC2315">
        <w:t xml:space="preserve"> </w:t>
      </w:r>
      <w:r w:rsidR="00AC514A">
        <w:t>while the list of new project was getting longer and longer</w:t>
      </w:r>
      <w:r>
        <w:t>.</w:t>
      </w:r>
      <w:r w:rsidR="00BC2315">
        <w:t xml:space="preserve"> In other words, the implementation pipeline of those requirements</w:t>
      </w:r>
      <w:r>
        <w:t xml:space="preserve"> </w:t>
      </w:r>
      <w:r w:rsidR="00BC2315">
        <w:t>is facing congestion</w:t>
      </w:r>
      <w:r w:rsidR="00A2447B">
        <w:t>s</w:t>
      </w:r>
      <w:r w:rsidR="00BC2315">
        <w:t xml:space="preserve">. </w:t>
      </w:r>
      <w:r>
        <w:t xml:space="preserve">This statement is valid for </w:t>
      </w:r>
      <w:r w:rsidR="00AC514A">
        <w:t>requirements linked to several market codes but is particularly noticeable for deliverables of the CACM Regulation</w:t>
      </w:r>
      <w:r w:rsidR="00BB3342">
        <w:t xml:space="preserve">. </w:t>
      </w:r>
      <w:r>
        <w:t xml:space="preserve">To implement those requirements, the regulated </w:t>
      </w:r>
      <w:r w:rsidR="00622B93">
        <w:t xml:space="preserve">entities </w:t>
      </w:r>
      <w:r>
        <w:t xml:space="preserve">organise themselves around so-called projects. </w:t>
      </w:r>
      <w:r w:rsidR="00D10EE0">
        <w:t>Parties</w:t>
      </w:r>
      <w:r w:rsidR="00BB3342">
        <w:t xml:space="preserve"> observe that</w:t>
      </w:r>
      <w:r w:rsidR="00D3504D">
        <w:t xml:space="preserve"> many </w:t>
      </w:r>
      <w:r w:rsidR="00BB3342">
        <w:t>project delay</w:t>
      </w:r>
      <w:r w:rsidR="00E83450">
        <w:t>s</w:t>
      </w:r>
      <w:r w:rsidR="00BB3342">
        <w:t xml:space="preserve"> affect the </w:t>
      </w:r>
      <w:r>
        <w:t xml:space="preserve">delivery of the subsequent </w:t>
      </w:r>
      <w:r w:rsidR="007C65B9">
        <w:t xml:space="preserve">or interdependent </w:t>
      </w:r>
      <w:r>
        <w:t>projects</w:t>
      </w:r>
      <w:r w:rsidR="00AC514A">
        <w:t>, even across regulations</w:t>
      </w:r>
      <w:r w:rsidR="00BB3342">
        <w:t xml:space="preserve"> (</w:t>
      </w:r>
      <w:proofErr w:type="gramStart"/>
      <w:r w:rsidR="00BB3342">
        <w:t>e.g.</w:t>
      </w:r>
      <w:proofErr w:type="gramEnd"/>
      <w:r w:rsidR="00BB3342">
        <w:t xml:space="preserve"> </w:t>
      </w:r>
      <w:r w:rsidR="00E83450">
        <w:t>Core region ROSC-IDCC</w:t>
      </w:r>
      <w:r>
        <w:t xml:space="preserve">). </w:t>
      </w:r>
    </w:p>
    <w:p w14:paraId="26C2BEF0" w14:textId="77777777" w:rsidR="00024F5B" w:rsidRDefault="00024F5B" w:rsidP="00A11510">
      <w:pPr>
        <w:jc w:val="both"/>
      </w:pPr>
    </w:p>
    <w:p w14:paraId="1823D754" w14:textId="77777777" w:rsidR="00FE7ED8" w:rsidRDefault="00BB3342" w:rsidP="006014D7">
      <w:pPr>
        <w:pStyle w:val="Heading2"/>
        <w:numPr>
          <w:ilvl w:val="0"/>
          <w:numId w:val="3"/>
        </w:numPr>
        <w:jc w:val="both"/>
      </w:pPr>
      <w:r>
        <w:t xml:space="preserve">Proposed way </w:t>
      </w:r>
      <w:proofErr w:type="gramStart"/>
      <w:r>
        <w:t>forward</w:t>
      </w:r>
      <w:proofErr w:type="gramEnd"/>
    </w:p>
    <w:p w14:paraId="320878B3" w14:textId="77777777" w:rsidR="00FE7ED8" w:rsidRDefault="00FE7ED8" w:rsidP="00AC520A">
      <w:pPr>
        <w:jc w:val="both"/>
      </w:pPr>
    </w:p>
    <w:p w14:paraId="0A0B33F0" w14:textId="7AB4625C" w:rsidR="00F20283" w:rsidRDefault="00BB3342" w:rsidP="00AC520A">
      <w:pPr>
        <w:jc w:val="both"/>
      </w:pPr>
      <w:r>
        <w:t>Following those observations</w:t>
      </w:r>
      <w:r w:rsidR="00B23455">
        <w:t xml:space="preserve"> stemming from the </w:t>
      </w:r>
      <w:r w:rsidR="00257AE3">
        <w:t xml:space="preserve">implementation of the </w:t>
      </w:r>
      <w:r w:rsidR="00AC514A">
        <w:t>market codes</w:t>
      </w:r>
      <w:r>
        <w:t xml:space="preserve">, </w:t>
      </w:r>
      <w:r w:rsidR="00D10EE0">
        <w:t>parties</w:t>
      </w:r>
      <w:r>
        <w:t xml:space="preserve"> propose </w:t>
      </w:r>
      <w:r w:rsidR="005967B2">
        <w:t>significant improvements</w:t>
      </w:r>
      <w:r w:rsidR="00846320">
        <w:t xml:space="preserve"> in the way timelines </w:t>
      </w:r>
      <w:r w:rsidR="00730294">
        <w:t xml:space="preserve">for </w:t>
      </w:r>
      <w:r w:rsidR="00BC2315">
        <w:t xml:space="preserve">implementation </w:t>
      </w:r>
      <w:r w:rsidR="00730294">
        <w:t xml:space="preserve">projects </w:t>
      </w:r>
      <w:r w:rsidR="00846320">
        <w:t>are defined</w:t>
      </w:r>
      <w:r w:rsidR="005967B2">
        <w:t xml:space="preserve"> and how </w:t>
      </w:r>
      <w:r w:rsidR="00C97BDD">
        <w:t xml:space="preserve">project </w:t>
      </w:r>
      <w:r w:rsidR="005967B2">
        <w:t xml:space="preserve">priorities are </w:t>
      </w:r>
      <w:r w:rsidR="00C97BDD">
        <w:t>determined</w:t>
      </w:r>
      <w:r>
        <w:t xml:space="preserve">. </w:t>
      </w:r>
      <w:r w:rsidR="007F54C3">
        <w:t xml:space="preserve">This change </w:t>
      </w:r>
      <w:r w:rsidR="00953363">
        <w:t xml:space="preserve">will </w:t>
      </w:r>
      <w:r w:rsidR="007F54C3">
        <w:t>be applicable to</w:t>
      </w:r>
      <w:r w:rsidR="00C97BDD">
        <w:t xml:space="preserve"> all</w:t>
      </w:r>
      <w:r w:rsidR="007F54C3">
        <w:t xml:space="preserve"> implementation projects stemming from market codes</w:t>
      </w:r>
      <w:r w:rsidR="006C6463">
        <w:t xml:space="preserve"> in case congestion is identified in </w:t>
      </w:r>
      <w:r w:rsidR="0061398C">
        <w:t>a</w:t>
      </w:r>
      <w:r w:rsidR="006C6463">
        <w:t xml:space="preserve"> delivery pipeline</w:t>
      </w:r>
      <w:r w:rsidR="007F54C3">
        <w:t xml:space="preserve"> (</w:t>
      </w:r>
      <w:proofErr w:type="gramStart"/>
      <w:r w:rsidR="007F54C3">
        <w:t>i.e.</w:t>
      </w:r>
      <w:proofErr w:type="gramEnd"/>
      <w:r w:rsidR="007F54C3">
        <w:t xml:space="preserve"> EB, FCA and CACM Regulations).</w:t>
      </w:r>
      <w:r w:rsidR="0089362D">
        <w:t xml:space="preserve"> Where relevant also</w:t>
      </w:r>
      <w:r w:rsidR="00953363">
        <w:t>,</w:t>
      </w:r>
      <w:r w:rsidR="0089362D">
        <w:t xml:space="preserve"> projects from other than the market codes (</w:t>
      </w:r>
      <w:proofErr w:type="gramStart"/>
      <w:r w:rsidR="0089362D">
        <w:t>e.g.</w:t>
      </w:r>
      <w:proofErr w:type="gramEnd"/>
      <w:r w:rsidR="0089362D">
        <w:t xml:space="preserve"> SO GL) should become considered in the future.</w:t>
      </w:r>
    </w:p>
    <w:p w14:paraId="0F50A82D" w14:textId="77777777" w:rsidR="00206177" w:rsidRDefault="00BB3342" w:rsidP="00A11510">
      <w:pPr>
        <w:jc w:val="both"/>
      </w:pPr>
      <w:r>
        <w:t xml:space="preserve">First, ACER and NRAs propose to </w:t>
      </w:r>
      <w:r w:rsidR="007D14F3">
        <w:t xml:space="preserve">better </w:t>
      </w:r>
      <w:r>
        <w:t xml:space="preserve">identify what would be a reasonable and feasible </w:t>
      </w:r>
      <w:r w:rsidR="005E418C">
        <w:t>expectation for</w:t>
      </w:r>
      <w:r>
        <w:t xml:space="preserve"> </w:t>
      </w:r>
      <w:r w:rsidR="00BC2315">
        <w:t>regulated entities</w:t>
      </w:r>
      <w:r w:rsidR="007F54C3">
        <w:t xml:space="preserve"> </w:t>
      </w:r>
      <w:r>
        <w:t xml:space="preserve">to </w:t>
      </w:r>
      <w:r w:rsidR="005E418C">
        <w:t xml:space="preserve">deliver </w:t>
      </w:r>
      <w:r w:rsidR="00D10EE0">
        <w:t xml:space="preserve">regulatory </w:t>
      </w:r>
      <w:r>
        <w:t>projects</w:t>
      </w:r>
      <w:r w:rsidR="005E418C">
        <w:t xml:space="preserve"> in time</w:t>
      </w:r>
      <w:r w:rsidR="002012A8">
        <w:t xml:space="preserve"> (</w:t>
      </w:r>
      <w:proofErr w:type="gramStart"/>
      <w:r w:rsidR="002012A8">
        <w:t>e.g.</w:t>
      </w:r>
      <w:proofErr w:type="gramEnd"/>
      <w:r w:rsidR="002012A8">
        <w:t xml:space="preserve"> based on benchmarking of similar projects)</w:t>
      </w:r>
      <w:r>
        <w:t xml:space="preserve">. </w:t>
      </w:r>
      <w:r w:rsidR="00E81CD1">
        <w:t>This requires a discussion on parallelisation of projects and benchmarking of implementation time</w:t>
      </w:r>
      <w:r w:rsidR="005E418C">
        <w:t>.</w:t>
      </w:r>
      <w:r w:rsidR="00E81CD1">
        <w:t xml:space="preserve"> </w:t>
      </w:r>
    </w:p>
    <w:p w14:paraId="19C6C0CF" w14:textId="413E8397" w:rsidR="00206177" w:rsidRDefault="00E81CD1" w:rsidP="00A11510">
      <w:pPr>
        <w:jc w:val="both"/>
      </w:pPr>
      <w:r>
        <w:t xml:space="preserve">Regarding parallelisation of projects, it is not </w:t>
      </w:r>
      <w:r w:rsidR="00C97BDD">
        <w:t xml:space="preserve">always </w:t>
      </w:r>
      <w:r>
        <w:t xml:space="preserve">reasonable to require </w:t>
      </w:r>
      <w:r w:rsidR="003D53B5">
        <w:t xml:space="preserve">all </w:t>
      </w:r>
      <w:r>
        <w:t>projects to be implemented in parallel and independently of each other, but it may be reasonable to require fro</w:t>
      </w:r>
      <w:r w:rsidR="00572BE0">
        <w:t>m</w:t>
      </w:r>
      <w:r>
        <w:t xml:space="preserve"> </w:t>
      </w:r>
      <w:r w:rsidR="007F54C3">
        <w:t xml:space="preserve">the </w:t>
      </w:r>
      <w:r w:rsidR="00BC2315">
        <w:t>entities</w:t>
      </w:r>
      <w:r>
        <w:t xml:space="preserve"> to </w:t>
      </w:r>
      <w:r w:rsidR="00C60338">
        <w:t>improve the possibilities to paralleli</w:t>
      </w:r>
      <w:r w:rsidR="00B2717D">
        <w:t>s</w:t>
      </w:r>
      <w:r w:rsidR="00C60338">
        <w:t>e the implementation of multiple projects, like any business identifying a bottleneck in their delivery pipelines</w:t>
      </w:r>
      <w:r>
        <w:t xml:space="preserve">. </w:t>
      </w:r>
      <w:r w:rsidR="00206177">
        <w:t xml:space="preserve">The prioritisation exercise does not have the ambition to open discussions on the financial or human resources that are allocated at national level, be it through cost recovery for NEMOs or tariff setting for TSOs, due to lack of legal basis to enable a coordinated approach at regional or European level. It is acknowledged that this may lead to </w:t>
      </w:r>
      <w:r w:rsidR="000B372E">
        <w:t>a discrepancy between the expectations set in the prioritisation exercise and the actual ability to parallelise or to timely progress projects by some parties.</w:t>
      </w:r>
    </w:p>
    <w:p w14:paraId="6AD4278C" w14:textId="0B220AE6" w:rsidR="00F20283" w:rsidRDefault="00E81CD1" w:rsidP="00A11510">
      <w:pPr>
        <w:jc w:val="both"/>
      </w:pPr>
      <w:r>
        <w:t>Regarding the legal deadlines for implementing each project</w:t>
      </w:r>
      <w:r w:rsidR="0093094E">
        <w:t>,</w:t>
      </w:r>
      <w:r>
        <w:t xml:space="preserve"> ACER and NRAs propose </w:t>
      </w:r>
      <w:r w:rsidR="00684306">
        <w:t xml:space="preserve">to </w:t>
      </w:r>
      <w:r w:rsidR="00C60338">
        <w:t xml:space="preserve">set the legal implementation deadlines based on </w:t>
      </w:r>
      <w:r>
        <w:t>benchmarking</w:t>
      </w:r>
      <w:r w:rsidR="007F2CEA">
        <w:t xml:space="preserve"> (possibly </w:t>
      </w:r>
      <w:r w:rsidR="007F54C3">
        <w:t>with an</w:t>
      </w:r>
      <w:r>
        <w:t xml:space="preserve"> </w:t>
      </w:r>
      <w:r w:rsidR="007F2CEA">
        <w:t xml:space="preserve">external and independent </w:t>
      </w:r>
      <w:r>
        <w:t>support</w:t>
      </w:r>
      <w:r w:rsidR="007F2CEA">
        <w:t>)</w:t>
      </w:r>
      <w:r>
        <w:t xml:space="preserve"> to define how much time </w:t>
      </w:r>
      <w:r w:rsidR="007F2CEA">
        <w:t>a specific project</w:t>
      </w:r>
      <w:r>
        <w:t xml:space="preserve"> would require under </w:t>
      </w:r>
      <w:r w:rsidR="0072697E">
        <w:t xml:space="preserve">an </w:t>
      </w:r>
      <w:r>
        <w:t>efficient organisation.</w:t>
      </w:r>
      <w:r w:rsidR="0072697E">
        <w:t xml:space="preserve"> </w:t>
      </w:r>
      <w:r w:rsidR="007161B3">
        <w:rPr>
          <w:i/>
          <w:iCs/>
        </w:rPr>
        <w:t>Depending on the specificities of the considered project (</w:t>
      </w:r>
      <w:proofErr w:type="gramStart"/>
      <w:r w:rsidR="007161B3">
        <w:rPr>
          <w:i/>
          <w:iCs/>
        </w:rPr>
        <w:t>e.g.</w:t>
      </w:r>
      <w:proofErr w:type="gramEnd"/>
      <w:r w:rsidR="007161B3">
        <w:rPr>
          <w:i/>
          <w:iCs/>
        </w:rPr>
        <w:t xml:space="preserve"> the degree of novelty with regard to previously implemented ones), the benchmarking exercise will duly report on the assumptions that have been considered in estimating the corresponding legal deadline</w:t>
      </w:r>
      <w:r w:rsidR="007161B3">
        <w:rPr>
          <w:i/>
          <w:iCs/>
        </w:rPr>
        <w:t>.</w:t>
      </w:r>
    </w:p>
    <w:p w14:paraId="67FE09E3" w14:textId="3990DD86" w:rsidR="00FE7ED8" w:rsidRDefault="00B2717D" w:rsidP="00B2717D">
      <w:pPr>
        <w:jc w:val="both"/>
      </w:pPr>
      <w:r>
        <w:t xml:space="preserve">Second, beyond the need of </w:t>
      </w:r>
      <w:r w:rsidR="00BB3342">
        <w:t xml:space="preserve">parallelisation and benchmarking of implementation timelines, the congestions in project pipelines can still occur. </w:t>
      </w:r>
      <w:r>
        <w:t>S</w:t>
      </w:r>
      <w:r w:rsidR="003D0593">
        <w:t>ome</w:t>
      </w:r>
      <w:r w:rsidR="00BB3342">
        <w:t xml:space="preserve"> clear prioritisation criteria</w:t>
      </w:r>
      <w:r w:rsidR="003D0593">
        <w:t xml:space="preserve"> </w:t>
      </w:r>
      <w:r>
        <w:t xml:space="preserve">therefore need to be defined ex ante </w:t>
      </w:r>
      <w:proofErr w:type="gramStart"/>
      <w:r>
        <w:t>in order to</w:t>
      </w:r>
      <w:proofErr w:type="gramEnd"/>
      <w:r>
        <w:t xml:space="preserve"> identify and prioritise the implementation of the most impacting projects in terms of social welfare</w:t>
      </w:r>
      <w:r w:rsidR="00443A35">
        <w:t xml:space="preserve"> </w:t>
      </w:r>
      <w:r w:rsidR="00BB3342">
        <w:t xml:space="preserve">(legal obligations, consumer benefits, </w:t>
      </w:r>
      <w:r w:rsidR="003F7904">
        <w:t xml:space="preserve">…). </w:t>
      </w:r>
    </w:p>
    <w:p w14:paraId="17CE3630" w14:textId="64FD2FB5" w:rsidR="003F7904" w:rsidRDefault="00BB3342" w:rsidP="00A11510">
      <w:pPr>
        <w:jc w:val="both"/>
      </w:pPr>
      <w:r>
        <w:t xml:space="preserve">The above approach </w:t>
      </w:r>
      <w:r w:rsidR="00B2717D">
        <w:t xml:space="preserve">therefore aims to </w:t>
      </w:r>
      <w:r>
        <w:t xml:space="preserve">define the deadlines of </w:t>
      </w:r>
      <w:r w:rsidR="00D10EE0">
        <w:t xml:space="preserve">regulatory </w:t>
      </w:r>
      <w:r>
        <w:t xml:space="preserve">projects under </w:t>
      </w:r>
      <w:r w:rsidR="00AD4E4F">
        <w:t xml:space="preserve">the </w:t>
      </w:r>
      <w:r>
        <w:t xml:space="preserve">assumption of </w:t>
      </w:r>
      <w:r w:rsidR="00AD4E4F">
        <w:t xml:space="preserve">an </w:t>
      </w:r>
      <w:r>
        <w:t xml:space="preserve">efficient organisation and based on clear priorities. </w:t>
      </w:r>
    </w:p>
    <w:p w14:paraId="5D01986B" w14:textId="6E98C31D" w:rsidR="00D87A13" w:rsidRDefault="00BB3342" w:rsidP="00A11510">
      <w:pPr>
        <w:jc w:val="both"/>
      </w:pPr>
      <w:r>
        <w:t xml:space="preserve">ACER and NRAs will continue their monitoring activities on implementation progress, investigate delays and </w:t>
      </w:r>
      <w:r w:rsidR="00AD4E4F">
        <w:t xml:space="preserve">NRAs should </w:t>
      </w:r>
      <w:r w:rsidR="00C4781C">
        <w:t xml:space="preserve">enforce when needed. </w:t>
      </w:r>
    </w:p>
    <w:p w14:paraId="642F2688" w14:textId="77777777" w:rsidR="00AA49E5" w:rsidRDefault="00AA49E5" w:rsidP="00A11510">
      <w:pPr>
        <w:jc w:val="both"/>
      </w:pPr>
    </w:p>
    <w:p w14:paraId="211BB699" w14:textId="32563475" w:rsidR="0025374B" w:rsidRDefault="0025374B" w:rsidP="006014D7">
      <w:pPr>
        <w:pStyle w:val="Heading2"/>
        <w:numPr>
          <w:ilvl w:val="0"/>
          <w:numId w:val="3"/>
        </w:numPr>
        <w:jc w:val="both"/>
      </w:pPr>
      <w:r>
        <w:t>Objectives</w:t>
      </w:r>
    </w:p>
    <w:p w14:paraId="707C9BE1" w14:textId="77777777" w:rsidR="0025374B" w:rsidRDefault="0025374B" w:rsidP="0025374B"/>
    <w:p w14:paraId="5CEF1DC2" w14:textId="59CBB83D" w:rsidR="0025374B" w:rsidRPr="0025374B" w:rsidRDefault="0025374B" w:rsidP="00D871E3">
      <w:r w:rsidRPr="0025374B">
        <w:t xml:space="preserve">The </w:t>
      </w:r>
      <w:r w:rsidRPr="0025374B">
        <w:rPr>
          <w:b/>
          <w:bCs/>
        </w:rPr>
        <w:t xml:space="preserve">objectives </w:t>
      </w:r>
      <w:r w:rsidR="00BF566C">
        <w:rPr>
          <w:b/>
          <w:bCs/>
        </w:rPr>
        <w:t>for</w:t>
      </w:r>
      <w:r w:rsidR="00BF566C" w:rsidRPr="0025374B">
        <w:rPr>
          <w:b/>
          <w:bCs/>
        </w:rPr>
        <w:t xml:space="preserve"> </w:t>
      </w:r>
      <w:r w:rsidR="00D871E3">
        <w:rPr>
          <w:b/>
          <w:bCs/>
        </w:rPr>
        <w:t>the introduction of this guidance</w:t>
      </w:r>
      <w:r w:rsidRPr="0025374B">
        <w:rPr>
          <w:b/>
          <w:bCs/>
        </w:rPr>
        <w:t xml:space="preserve"> are to</w:t>
      </w:r>
      <w:r w:rsidRPr="0025374B">
        <w:t>:</w:t>
      </w:r>
    </w:p>
    <w:p w14:paraId="5C558D4B" w14:textId="3E961F3E" w:rsidR="0025374B" w:rsidRPr="0025374B" w:rsidRDefault="0025374B" w:rsidP="006014D7">
      <w:pPr>
        <w:numPr>
          <w:ilvl w:val="1"/>
          <w:numId w:val="14"/>
        </w:numPr>
      </w:pPr>
      <w:r w:rsidRPr="0025374B">
        <w:lastRenderedPageBreak/>
        <w:t>Improve the way regulatory projects are planned (</w:t>
      </w:r>
      <w:proofErr w:type="gramStart"/>
      <w:r w:rsidRPr="0025374B">
        <w:t>i.e.</w:t>
      </w:r>
      <w:proofErr w:type="gramEnd"/>
      <w:r w:rsidRPr="0025374B">
        <w:t xml:space="preserve"> their </w:t>
      </w:r>
      <w:r w:rsidR="00953363">
        <w:t>regulatory</w:t>
      </w:r>
      <w:r w:rsidRPr="0025374B">
        <w:t xml:space="preserve"> deadline is defined) to better consider the ongoing implementations and current implementation capabilities</w:t>
      </w:r>
    </w:p>
    <w:p w14:paraId="76670BD5" w14:textId="77777777" w:rsidR="003D53B5" w:rsidRPr="003D53B5" w:rsidRDefault="003D53B5" w:rsidP="003D53B5">
      <w:pPr>
        <w:numPr>
          <w:ilvl w:val="1"/>
          <w:numId w:val="14"/>
        </w:numPr>
      </w:pPr>
      <w:r w:rsidRPr="003D53B5">
        <w:t xml:space="preserve">Allow for a better and more transparent long-term planning of regulatory projects, taking into account a number of key </w:t>
      </w:r>
      <w:proofErr w:type="gramStart"/>
      <w:r w:rsidRPr="003D53B5">
        <w:t>criteria</w:t>
      </w:r>
      <w:proofErr w:type="gramEnd"/>
    </w:p>
    <w:p w14:paraId="049EEEC8" w14:textId="77777777" w:rsidR="003D53B5" w:rsidRPr="003D53B5" w:rsidRDefault="003D53B5" w:rsidP="003D53B5">
      <w:pPr>
        <w:numPr>
          <w:ilvl w:val="1"/>
          <w:numId w:val="14"/>
        </w:numPr>
      </w:pPr>
      <w:r w:rsidRPr="003D53B5">
        <w:t xml:space="preserve">Involve stakeholders in the identification of implementation </w:t>
      </w:r>
      <w:proofErr w:type="gramStart"/>
      <w:r w:rsidRPr="003D53B5">
        <w:t>priorities</w:t>
      </w:r>
      <w:proofErr w:type="gramEnd"/>
    </w:p>
    <w:p w14:paraId="04A70F12" w14:textId="061F2A0D" w:rsidR="0025374B" w:rsidRPr="0025374B" w:rsidRDefault="0025374B" w:rsidP="00AC520A">
      <w:r w:rsidRPr="0025374B">
        <w:t xml:space="preserve">The </w:t>
      </w:r>
      <w:r w:rsidRPr="0025374B">
        <w:rPr>
          <w:b/>
          <w:bCs/>
        </w:rPr>
        <w:t xml:space="preserve">objectives </w:t>
      </w:r>
      <w:r w:rsidR="00BF566C">
        <w:rPr>
          <w:b/>
          <w:bCs/>
        </w:rPr>
        <w:t>for</w:t>
      </w:r>
      <w:r w:rsidR="00BF566C" w:rsidRPr="0025374B">
        <w:rPr>
          <w:b/>
          <w:bCs/>
        </w:rPr>
        <w:t xml:space="preserve"> </w:t>
      </w:r>
      <w:r w:rsidR="00D871E3">
        <w:rPr>
          <w:b/>
          <w:bCs/>
        </w:rPr>
        <w:t>the introduction of this guidance</w:t>
      </w:r>
      <w:r w:rsidR="00D871E3" w:rsidRPr="0025374B">
        <w:rPr>
          <w:b/>
          <w:bCs/>
        </w:rPr>
        <w:t xml:space="preserve"> </w:t>
      </w:r>
      <w:r w:rsidRPr="0025374B">
        <w:rPr>
          <w:b/>
          <w:bCs/>
        </w:rPr>
        <w:t>are not to</w:t>
      </w:r>
      <w:r w:rsidRPr="0025374B">
        <w:t>:</w:t>
      </w:r>
    </w:p>
    <w:p w14:paraId="17F9E2E8" w14:textId="7D07A40C" w:rsidR="0025374B" w:rsidRPr="0025374B" w:rsidRDefault="0025374B" w:rsidP="006014D7">
      <w:pPr>
        <w:numPr>
          <w:ilvl w:val="1"/>
          <w:numId w:val="3"/>
        </w:numPr>
      </w:pPr>
      <w:r w:rsidRPr="0025374B">
        <w:t>Revise the existing legal</w:t>
      </w:r>
      <w:r w:rsidR="00953363">
        <w:t xml:space="preserve"> or regulatory</w:t>
      </w:r>
      <w:r w:rsidRPr="0025374B">
        <w:t xml:space="preserve"> deadlines and challenge ongoing </w:t>
      </w:r>
      <w:proofErr w:type="gramStart"/>
      <w:r w:rsidRPr="0025374B">
        <w:t>implementations</w:t>
      </w:r>
      <w:proofErr w:type="gramEnd"/>
    </w:p>
    <w:p w14:paraId="30272BD2" w14:textId="3221321A" w:rsidR="0025374B" w:rsidRPr="00614095" w:rsidRDefault="00953363" w:rsidP="006014D7">
      <w:pPr>
        <w:numPr>
          <w:ilvl w:val="1"/>
          <w:numId w:val="3"/>
        </w:numPr>
      </w:pPr>
      <w:r>
        <w:t>Consider</w:t>
      </w:r>
      <w:r w:rsidRPr="0025374B">
        <w:t xml:space="preserve"> </w:t>
      </w:r>
      <w:r w:rsidR="0025374B" w:rsidRPr="0025374B">
        <w:t xml:space="preserve">new projects </w:t>
      </w:r>
      <w:r>
        <w:t xml:space="preserve">in or adding </w:t>
      </w:r>
      <w:r w:rsidR="0025374B" w:rsidRPr="0025374B">
        <w:t xml:space="preserve">to the pipeline </w:t>
      </w:r>
      <w:r>
        <w:t xml:space="preserve">which are not mandated or necessary to implement projects mandated by </w:t>
      </w:r>
      <w:r w:rsidR="00626FC8">
        <w:t>regulatory or legal texts.</w:t>
      </w:r>
    </w:p>
    <w:p w14:paraId="39FCEE00" w14:textId="77777777" w:rsidR="0025374B" w:rsidRDefault="0025374B" w:rsidP="00A11510">
      <w:pPr>
        <w:jc w:val="both"/>
      </w:pPr>
    </w:p>
    <w:p w14:paraId="3780EF59" w14:textId="55C9B174" w:rsidR="005A4D82" w:rsidRDefault="005A4D82" w:rsidP="006014D7">
      <w:pPr>
        <w:pStyle w:val="Heading1"/>
      </w:pPr>
      <w:r>
        <w:t>Definitions</w:t>
      </w:r>
    </w:p>
    <w:p w14:paraId="35A98516" w14:textId="77777777" w:rsidR="005A4D82" w:rsidRPr="005A4D82" w:rsidRDefault="005A4D82" w:rsidP="00D871E3"/>
    <w:p w14:paraId="23305E41" w14:textId="77777777" w:rsidR="00385E42" w:rsidRDefault="00385E42" w:rsidP="006014D7">
      <w:pPr>
        <w:pStyle w:val="Heading2"/>
        <w:numPr>
          <w:ilvl w:val="0"/>
          <w:numId w:val="11"/>
        </w:numPr>
      </w:pPr>
      <w:r>
        <w:t>Project delivery pipeline</w:t>
      </w:r>
    </w:p>
    <w:p w14:paraId="119CB942" w14:textId="77777777" w:rsidR="00385E42" w:rsidRPr="005A4D82" w:rsidRDefault="00385E42" w:rsidP="00385E42"/>
    <w:p w14:paraId="447BE40E" w14:textId="147E6BAE" w:rsidR="00385E42" w:rsidRDefault="00385E42" w:rsidP="00385E42">
      <w:r>
        <w:t>ACER and NRAs consider that, in the scope of this framework, a project delivery pipeline</w:t>
      </w:r>
      <w:r>
        <w:rPr>
          <w:rStyle w:val="FootnoteReference"/>
        </w:rPr>
        <w:footnoteReference w:id="2"/>
      </w:r>
      <w:r>
        <w:t xml:space="preserve"> is to be considered as an organisation of regulated entities aiming at delivering regulatory projects with a clear geographical scope in a relatively independent process from other delivery pipelines.</w:t>
      </w:r>
      <w:r>
        <w:rPr>
          <w:rStyle w:val="FootnoteReference"/>
        </w:rPr>
        <w:footnoteReference w:id="3"/>
      </w:r>
      <w:r>
        <w:t xml:space="preserve"> </w:t>
      </w:r>
    </w:p>
    <w:p w14:paraId="5FE8C713" w14:textId="2CE0F46C" w:rsidR="00385E42" w:rsidRDefault="00385E42" w:rsidP="00385E42">
      <w:pPr>
        <w:jc w:val="both"/>
      </w:pPr>
      <w:r>
        <w:t>A regulatory project pipeline is defined by the following parameters:</w:t>
      </w:r>
    </w:p>
    <w:p w14:paraId="002A0384" w14:textId="77777777" w:rsidR="00385E42" w:rsidRDefault="00385E42" w:rsidP="006014D7">
      <w:pPr>
        <w:pStyle w:val="ListParagraph"/>
        <w:numPr>
          <w:ilvl w:val="0"/>
          <w:numId w:val="8"/>
        </w:numPr>
        <w:jc w:val="both"/>
      </w:pPr>
      <w:r>
        <w:t>Regulation (</w:t>
      </w:r>
      <w:proofErr w:type="gramStart"/>
      <w:r>
        <w:t>e.g.</w:t>
      </w:r>
      <w:proofErr w:type="gramEnd"/>
      <w:r>
        <w:t xml:space="preserve"> CACM, EB and FCA)</w:t>
      </w:r>
    </w:p>
    <w:p w14:paraId="66D589BC" w14:textId="116C3AB9" w:rsidR="00385E42" w:rsidRDefault="00385E42" w:rsidP="006014D7">
      <w:pPr>
        <w:pStyle w:val="ListParagraph"/>
        <w:numPr>
          <w:ilvl w:val="0"/>
          <w:numId w:val="8"/>
        </w:numPr>
        <w:jc w:val="both"/>
      </w:pPr>
      <w:r>
        <w:t xml:space="preserve">Geographic </w:t>
      </w:r>
      <w:r w:rsidR="00BF566C">
        <w:t>perimeter</w:t>
      </w:r>
      <w:r>
        <w:t xml:space="preserve"> (</w:t>
      </w:r>
      <w:proofErr w:type="gramStart"/>
      <w:r>
        <w:t>e.g.</w:t>
      </w:r>
      <w:proofErr w:type="gramEnd"/>
      <w:r>
        <w:t xml:space="preserve"> EU</w:t>
      </w:r>
      <w:r w:rsidR="00BF566C">
        <w:t>-wide</w:t>
      </w:r>
      <w:r>
        <w:t>, regional, national)</w:t>
      </w:r>
    </w:p>
    <w:p w14:paraId="2911E6A3" w14:textId="6476B663" w:rsidR="00385E42" w:rsidRDefault="0080585D" w:rsidP="006014D7">
      <w:pPr>
        <w:pStyle w:val="ListParagraph"/>
        <w:numPr>
          <w:ilvl w:val="0"/>
          <w:numId w:val="8"/>
        </w:numPr>
        <w:jc w:val="both"/>
      </w:pPr>
      <w:r>
        <w:t xml:space="preserve">Applicability </w:t>
      </w:r>
      <w:r w:rsidR="009D0626">
        <w:t>t</w:t>
      </w:r>
      <w:r w:rsidR="00385E42">
        <w:t>imeframe (</w:t>
      </w:r>
      <w:proofErr w:type="gramStart"/>
      <w:r w:rsidR="00385E42">
        <w:t>e.g.</w:t>
      </w:r>
      <w:proofErr w:type="gramEnd"/>
      <w:r w:rsidR="00385E42">
        <w:t xml:space="preserve"> SDAC and SIDC)</w:t>
      </w:r>
    </w:p>
    <w:p w14:paraId="2EC9CE50" w14:textId="09A4F75F" w:rsidR="00385E42" w:rsidRDefault="00385E42" w:rsidP="006014D7">
      <w:pPr>
        <w:pStyle w:val="ListParagraph"/>
        <w:numPr>
          <w:ilvl w:val="0"/>
          <w:numId w:val="8"/>
        </w:numPr>
        <w:jc w:val="both"/>
      </w:pPr>
      <w:r>
        <w:t>Regulated entities (</w:t>
      </w:r>
      <w:proofErr w:type="gramStart"/>
      <w:r>
        <w:t>e.g.</w:t>
      </w:r>
      <w:proofErr w:type="gramEnd"/>
      <w:r>
        <w:t xml:space="preserve"> NEMOs, TSOs or joint)</w:t>
      </w:r>
    </w:p>
    <w:p w14:paraId="505182E1" w14:textId="65D00737" w:rsidR="00BC744B" w:rsidRDefault="00385E42" w:rsidP="006014D7">
      <w:pPr>
        <w:pStyle w:val="ListParagraph"/>
        <w:numPr>
          <w:ilvl w:val="0"/>
          <w:numId w:val="8"/>
        </w:numPr>
        <w:jc w:val="both"/>
      </w:pPr>
      <w:r>
        <w:t>Project phases (</w:t>
      </w:r>
      <w:proofErr w:type="gramStart"/>
      <w:r>
        <w:t>e.g.</w:t>
      </w:r>
      <w:proofErr w:type="gramEnd"/>
      <w:r>
        <w:t xml:space="preserve"> </w:t>
      </w:r>
      <w:r w:rsidR="00BF566C">
        <w:t xml:space="preserve">R&amp;D, </w:t>
      </w:r>
      <w:r>
        <w:t xml:space="preserve">Design </w:t>
      </w:r>
      <w:r w:rsidR="00BF566C">
        <w:t>or</w:t>
      </w:r>
      <w:r>
        <w:t xml:space="preserve"> implementation)</w:t>
      </w:r>
    </w:p>
    <w:p w14:paraId="78B1C07D" w14:textId="0F26555B" w:rsidR="00BC744B" w:rsidRDefault="00BC744B" w:rsidP="00AC520A">
      <w:pPr>
        <w:jc w:val="both"/>
      </w:pPr>
      <w:r>
        <w:t xml:space="preserve">An example of project pipeline can therefore be the CACM EU-wide SDAC NEMOs-TSOs implementation pipeline. </w:t>
      </w:r>
    </w:p>
    <w:p w14:paraId="0B48F0B6" w14:textId="77777777" w:rsidR="00385E42" w:rsidRDefault="00385E42" w:rsidP="00385E42">
      <w:r>
        <w:t xml:space="preserve">There can however be dependencies between regulatory projects pertaining to more than one project delivery pipelines. </w:t>
      </w:r>
    </w:p>
    <w:p w14:paraId="084722A1" w14:textId="5089E6FC" w:rsidR="00385E42" w:rsidRDefault="00E241A0" w:rsidP="00385E42">
      <w:r>
        <w:t>Only</w:t>
      </w:r>
      <w:r w:rsidR="00385E42">
        <w:t xml:space="preserve"> project delivery pipelines </w:t>
      </w:r>
      <w:r>
        <w:t>facing congestion (</w:t>
      </w:r>
      <w:proofErr w:type="gramStart"/>
      <w:r>
        <w:t>i.e.</w:t>
      </w:r>
      <w:proofErr w:type="gramEnd"/>
      <w:r>
        <w:t xml:space="preserve"> that cannot deliver all planned regulatory projects in parallel) </w:t>
      </w:r>
      <w:r w:rsidR="00953363">
        <w:t>will be</w:t>
      </w:r>
      <w:r w:rsidR="00385E42">
        <w:t xml:space="preserve"> considered as part of this exercise.</w:t>
      </w:r>
    </w:p>
    <w:p w14:paraId="0AFF6D6D" w14:textId="77777777" w:rsidR="00181AFE" w:rsidRDefault="00181AFE" w:rsidP="00385E42"/>
    <w:p w14:paraId="03244A8C" w14:textId="4EE30DC6" w:rsidR="005A4D82" w:rsidRDefault="005A4D82" w:rsidP="006014D7">
      <w:pPr>
        <w:pStyle w:val="Heading2"/>
        <w:numPr>
          <w:ilvl w:val="0"/>
          <w:numId w:val="11"/>
        </w:numPr>
      </w:pPr>
      <w:r>
        <w:t>Regulatory</w:t>
      </w:r>
      <w:r w:rsidR="00E17E20">
        <w:t xml:space="preserve"> </w:t>
      </w:r>
      <w:r>
        <w:t>project</w:t>
      </w:r>
    </w:p>
    <w:p w14:paraId="1B9F5BFC" w14:textId="2B03AF64" w:rsidR="005A4D82" w:rsidRDefault="005A4D82" w:rsidP="005A4D82"/>
    <w:p w14:paraId="5B38298E" w14:textId="556F2E58" w:rsidR="00FC39E4" w:rsidRPr="00E17E20" w:rsidRDefault="005A4D82" w:rsidP="00D871E3">
      <w:pPr>
        <w:jc w:val="both"/>
      </w:pPr>
      <w:r>
        <w:t xml:space="preserve">In the scope of this framework, ACER and NRAs </w:t>
      </w:r>
      <w:r w:rsidR="00FC39E4">
        <w:t>consider that</w:t>
      </w:r>
      <w:r>
        <w:t xml:space="preserve"> </w:t>
      </w:r>
      <w:r w:rsidR="009446CD" w:rsidRPr="00D871E3">
        <w:rPr>
          <w:b/>
          <w:bCs/>
        </w:rPr>
        <w:t>regulatory</w:t>
      </w:r>
      <w:r w:rsidRPr="002D66C8">
        <w:rPr>
          <w:b/>
        </w:rPr>
        <w:t xml:space="preserve"> project</w:t>
      </w:r>
      <w:r w:rsidR="00E17E20">
        <w:rPr>
          <w:b/>
        </w:rPr>
        <w:t>s</w:t>
      </w:r>
      <w:r w:rsidR="009D673F">
        <w:rPr>
          <w:rStyle w:val="FootnoteReference"/>
          <w:b/>
        </w:rPr>
        <w:footnoteReference w:id="4"/>
      </w:r>
      <w:r w:rsidR="00FC39E4">
        <w:t xml:space="preserve"> must respect the following characteristic</w:t>
      </w:r>
      <w:r w:rsidR="00E17E20">
        <w:t>: t</w:t>
      </w:r>
      <w:r w:rsidR="00FC39E4" w:rsidRPr="00D871E3">
        <w:t xml:space="preserve">he project should be defined in a regulatory text, or part of discussions linked to a future or </w:t>
      </w:r>
      <w:r w:rsidR="00E241A0">
        <w:t>expected</w:t>
      </w:r>
      <w:r w:rsidR="00E241A0" w:rsidRPr="00D871E3">
        <w:t xml:space="preserve"> </w:t>
      </w:r>
      <w:r w:rsidR="00FC39E4" w:rsidRPr="00D871E3">
        <w:t>inclusion in a regulatory text</w:t>
      </w:r>
      <w:r w:rsidR="00385E42">
        <w:rPr>
          <w:rStyle w:val="FootnoteReference"/>
        </w:rPr>
        <w:footnoteReference w:id="5"/>
      </w:r>
      <w:r w:rsidR="00FC39E4" w:rsidRPr="00D871E3">
        <w:t xml:space="preserve"> (</w:t>
      </w:r>
      <w:r w:rsidR="00845F7E">
        <w:t xml:space="preserve">the </w:t>
      </w:r>
      <w:r w:rsidR="00BF566C">
        <w:t>regulatory</w:t>
      </w:r>
      <w:r w:rsidR="00D871E3">
        <w:t xml:space="preserve"> texts are Regulations</w:t>
      </w:r>
      <w:r w:rsidR="00385E42">
        <w:t xml:space="preserve"> (EU)</w:t>
      </w:r>
      <w:r w:rsidR="00D871E3">
        <w:t xml:space="preserve"> </w:t>
      </w:r>
      <w:r w:rsidR="00385E42" w:rsidRPr="0028378E">
        <w:t>of the European Parliament and of the Council</w:t>
      </w:r>
      <w:r w:rsidR="00D871E3">
        <w:t>, Co</w:t>
      </w:r>
      <w:r w:rsidR="00385E42">
        <w:t>mmission Regulation (EU) or binding decisions from ACER or NRAs</w:t>
      </w:r>
      <w:r w:rsidR="00845F7E">
        <w:t>)</w:t>
      </w:r>
      <w:r w:rsidR="00385E42">
        <w:t>.</w:t>
      </w:r>
    </w:p>
    <w:p w14:paraId="149F0322" w14:textId="2DB2E2EC" w:rsidR="00FC39E4" w:rsidRPr="00E17E20" w:rsidRDefault="00E17E20" w:rsidP="00D871E3">
      <w:pPr>
        <w:jc w:val="both"/>
      </w:pPr>
      <w:r>
        <w:t>If a congestion is identified in a pipeline delivering studies or performing research and development activities</w:t>
      </w:r>
      <w:r w:rsidR="00385E42">
        <w:t xml:space="preserve"> and considering its link with the implementation of regulatory projects</w:t>
      </w:r>
      <w:r>
        <w:t xml:space="preserve">, </w:t>
      </w:r>
      <w:r w:rsidRPr="00D871E3">
        <w:rPr>
          <w:b/>
          <w:bCs/>
        </w:rPr>
        <w:t>R&amp;D initiatives</w:t>
      </w:r>
      <w:r>
        <w:t xml:space="preserve"> can be considered as regulatory projects in the context of this framework. </w:t>
      </w:r>
    </w:p>
    <w:p w14:paraId="280F9D80" w14:textId="78FE7AAA" w:rsidR="00FC39E4" w:rsidRPr="00E17E20" w:rsidRDefault="00FC39E4" w:rsidP="00E17E20">
      <w:pPr>
        <w:jc w:val="both"/>
      </w:pPr>
      <w:r w:rsidRPr="00D871E3">
        <w:t xml:space="preserve">To be part of a specific project pipeline, the project should impact this delivery pipeline </w:t>
      </w:r>
      <w:r w:rsidR="007C43A8">
        <w:t xml:space="preserve">and trigger work for </w:t>
      </w:r>
      <w:r w:rsidR="00974F1A">
        <w:t xml:space="preserve">at least </w:t>
      </w:r>
      <w:r w:rsidR="00385E42">
        <w:t xml:space="preserve">6 </w:t>
      </w:r>
      <w:r w:rsidR="007C43A8">
        <w:t>months in that specific pipeline</w:t>
      </w:r>
      <w:r w:rsidRPr="00D871E3">
        <w:t xml:space="preserve"> (</w:t>
      </w:r>
      <w:proofErr w:type="gramStart"/>
      <w:r w:rsidRPr="00D871E3">
        <w:t>i.e.</w:t>
      </w:r>
      <w:proofErr w:type="gramEnd"/>
      <w:r w:rsidRPr="00D871E3">
        <w:t xml:space="preserve"> very small projects are out of scope)</w:t>
      </w:r>
      <w:r w:rsidR="00E17E20">
        <w:t>.</w:t>
      </w:r>
      <w:r w:rsidR="007C43A8">
        <w:t xml:space="preserve"> Projects can be part of more than one pipeline.</w:t>
      </w:r>
    </w:p>
    <w:p w14:paraId="2B50556D" w14:textId="77777777" w:rsidR="005A4D82" w:rsidRDefault="005A4D82" w:rsidP="005A4D82">
      <w:pPr>
        <w:jc w:val="both"/>
      </w:pPr>
      <w:r>
        <w:t xml:space="preserve">In the context of this framework, ACER and NRAs identify </w:t>
      </w:r>
      <w:r w:rsidRPr="00D871E3">
        <w:rPr>
          <w:b/>
          <w:bCs/>
        </w:rPr>
        <w:t>three distinct categories of projects</w:t>
      </w:r>
      <w:r>
        <w:t xml:space="preserve">: </w:t>
      </w:r>
    </w:p>
    <w:p w14:paraId="43E9FC82" w14:textId="470E3D57" w:rsidR="005A4D82" w:rsidRDefault="00D10EE0" w:rsidP="006014D7">
      <w:pPr>
        <w:pStyle w:val="ListParagraph"/>
        <w:numPr>
          <w:ilvl w:val="0"/>
          <w:numId w:val="2"/>
        </w:numPr>
        <w:jc w:val="both"/>
      </w:pPr>
      <w:r>
        <w:t xml:space="preserve">Regulatory </w:t>
      </w:r>
      <w:r w:rsidR="005A4D82">
        <w:t xml:space="preserve">projects with a clearly defined legal </w:t>
      </w:r>
      <w:r w:rsidR="00953363">
        <w:t xml:space="preserve">or regulatory </w:t>
      </w:r>
      <w:r w:rsidR="005A4D82">
        <w:t xml:space="preserve">deadline that </w:t>
      </w:r>
      <w:r w:rsidR="00845F7E">
        <w:t>is expected to</w:t>
      </w:r>
      <w:r w:rsidR="005A4D82">
        <w:t xml:space="preserve"> be met,</w:t>
      </w:r>
    </w:p>
    <w:p w14:paraId="0288E3C4" w14:textId="6CA2CAA5" w:rsidR="005A4D82" w:rsidRDefault="00D10EE0" w:rsidP="006014D7">
      <w:pPr>
        <w:pStyle w:val="ListParagraph"/>
        <w:numPr>
          <w:ilvl w:val="0"/>
          <w:numId w:val="2"/>
        </w:numPr>
        <w:jc w:val="both"/>
      </w:pPr>
      <w:r>
        <w:t xml:space="preserve">Regulatory </w:t>
      </w:r>
      <w:r w:rsidR="005A4D82">
        <w:t xml:space="preserve">projects with a clearly defined legal </w:t>
      </w:r>
      <w:r w:rsidR="00953363">
        <w:t xml:space="preserve">or regulatory </w:t>
      </w:r>
      <w:r w:rsidR="005A4D82">
        <w:t xml:space="preserve">deadline but for which the </w:t>
      </w:r>
      <w:r w:rsidR="00BC2315">
        <w:t>regulated entities</w:t>
      </w:r>
      <w:r w:rsidR="005A4D82">
        <w:t xml:space="preserve"> have not been able to meet the deadline/are already certain that they will not be able to meet the deadline, and</w:t>
      </w:r>
    </w:p>
    <w:p w14:paraId="58969631" w14:textId="079F6CDC" w:rsidR="005A4D82" w:rsidRDefault="00D10EE0" w:rsidP="006014D7">
      <w:pPr>
        <w:pStyle w:val="ListParagraph"/>
        <w:numPr>
          <w:ilvl w:val="0"/>
          <w:numId w:val="2"/>
        </w:numPr>
        <w:jc w:val="both"/>
      </w:pPr>
      <w:r>
        <w:t xml:space="preserve">Regulatory </w:t>
      </w:r>
      <w:r w:rsidR="005A4D82">
        <w:t xml:space="preserve">projects without a clearly defined legal </w:t>
      </w:r>
      <w:r w:rsidR="00953363">
        <w:t xml:space="preserve">or regulatory </w:t>
      </w:r>
      <w:r w:rsidR="005A4D82">
        <w:t>deadline.</w:t>
      </w:r>
    </w:p>
    <w:p w14:paraId="504A2F97" w14:textId="3C451999" w:rsidR="00AA49E5" w:rsidRDefault="0069293F" w:rsidP="00AA49E5">
      <w:pPr>
        <w:jc w:val="both"/>
      </w:pPr>
      <w:r>
        <w:t xml:space="preserve">ACER and NRAs consider that the scope of the prioritisation exercise should cover all three categories of projects. However, the priority rating given to the project </w:t>
      </w:r>
      <w:r w:rsidR="00AA49E5">
        <w:t>will serve a different purpose.</w:t>
      </w:r>
      <w:r w:rsidR="00AA49E5" w:rsidRPr="00AA49E5">
        <w:t xml:space="preserve"> </w:t>
      </w:r>
      <w:r w:rsidR="00AA49E5">
        <w:t xml:space="preserve">Project categories 2 and 3 fall under the project prioritisation process either to provide guidance to </w:t>
      </w:r>
      <w:r w:rsidR="00BC2315">
        <w:t xml:space="preserve">regulated entities </w:t>
      </w:r>
      <w:r w:rsidR="00AA49E5">
        <w:t xml:space="preserve">on the priorities of the project to be implemented (category 2) or to set a </w:t>
      </w:r>
      <w:r w:rsidR="00953363">
        <w:t xml:space="preserve">regulatory </w:t>
      </w:r>
      <w:r w:rsidR="00AA49E5">
        <w:t>deadline (category 3), while considering how the timeline may be impacted by the projects of the category 1.</w:t>
      </w:r>
    </w:p>
    <w:p w14:paraId="386F301F" w14:textId="1BE68A21" w:rsidR="00AA49E5" w:rsidRDefault="00AA49E5" w:rsidP="00AA49E5">
      <w:pPr>
        <w:jc w:val="both"/>
      </w:pPr>
      <w:r>
        <w:t xml:space="preserve">It is important to note that defining the priorities of projects falling under category 2 does not in any case relieve </w:t>
      </w:r>
      <w:r w:rsidR="00BC2315">
        <w:t>regulated entities</w:t>
      </w:r>
      <w:r>
        <w:t xml:space="preserve"> from the obligations to implement those projects according to the legal </w:t>
      </w:r>
      <w:r w:rsidR="00953363">
        <w:t xml:space="preserve">or regulatory </w:t>
      </w:r>
      <w:r>
        <w:t>deadline</w:t>
      </w:r>
      <w:r w:rsidR="006F3D62">
        <w:t xml:space="preserve"> nor NRAs to take enforcement measures</w:t>
      </w:r>
      <w:r>
        <w:t xml:space="preserve">. </w:t>
      </w:r>
    </w:p>
    <w:p w14:paraId="56E59809" w14:textId="41F3CD96" w:rsidR="0069293F" w:rsidRDefault="0069293F" w:rsidP="0069293F">
      <w:pPr>
        <w:jc w:val="both"/>
      </w:pPr>
      <w:r>
        <w:t xml:space="preserve">Furthermore, ACER and NRAs distinguish the </w:t>
      </w:r>
      <w:r w:rsidRPr="00D871E3">
        <w:rPr>
          <w:b/>
          <w:bCs/>
        </w:rPr>
        <w:t>origin of the deadline</w:t>
      </w:r>
      <w:r>
        <w:t xml:space="preserve"> of regulatory projects: </w:t>
      </w:r>
    </w:p>
    <w:p w14:paraId="02ED93CD" w14:textId="4122C683" w:rsidR="0069293F" w:rsidRDefault="00953363" w:rsidP="006014D7">
      <w:pPr>
        <w:pStyle w:val="ListParagraph"/>
        <w:numPr>
          <w:ilvl w:val="0"/>
          <w:numId w:val="13"/>
        </w:numPr>
        <w:jc w:val="both"/>
      </w:pPr>
      <w:r>
        <w:t xml:space="preserve">Regulatory </w:t>
      </w:r>
      <w:r w:rsidR="0069293F">
        <w:t>deadlines defined in a term</w:t>
      </w:r>
      <w:r w:rsidR="00AA49E5">
        <w:t>s</w:t>
      </w:r>
      <w:r w:rsidR="0069293F">
        <w:t xml:space="preserve"> and </w:t>
      </w:r>
      <w:proofErr w:type="gramStart"/>
      <w:r w:rsidR="0069293F">
        <w:t>condition</w:t>
      </w:r>
      <w:r w:rsidR="00AA49E5">
        <w:t>s</w:t>
      </w:r>
      <w:proofErr w:type="gramEnd"/>
      <w:r w:rsidR="0069293F">
        <w:t xml:space="preserve"> or methodology</w:t>
      </w:r>
      <w:r w:rsidR="0028378E">
        <w:t xml:space="preserve"> (‘TCM’)</w:t>
      </w:r>
      <w:r w:rsidR="0069293F">
        <w:t xml:space="preserve"> approved by ACER or NRAs, or</w:t>
      </w:r>
    </w:p>
    <w:p w14:paraId="051EA576" w14:textId="10AFA5F4" w:rsidR="0069293F" w:rsidRDefault="0069293F" w:rsidP="006014D7">
      <w:pPr>
        <w:pStyle w:val="ListParagraph"/>
        <w:numPr>
          <w:ilvl w:val="0"/>
          <w:numId w:val="13"/>
        </w:numPr>
        <w:jc w:val="both"/>
      </w:pPr>
      <w:r>
        <w:t>Legal deadlines defined in a legal document not approved by ACER or NRAs (</w:t>
      </w:r>
      <w:proofErr w:type="gramStart"/>
      <w:r>
        <w:t>e.g.</w:t>
      </w:r>
      <w:proofErr w:type="gramEnd"/>
      <w:r>
        <w:t xml:space="preserve"> a Regulation (EU)).</w:t>
      </w:r>
    </w:p>
    <w:p w14:paraId="45BCCB09" w14:textId="535EC473" w:rsidR="005A4D82" w:rsidRDefault="00AA49E5" w:rsidP="005A4D82">
      <w:r>
        <w:t xml:space="preserve">ACER and NRAs consider that </w:t>
      </w:r>
      <w:r w:rsidR="00953363">
        <w:t>legal deadlines</w:t>
      </w:r>
      <w:r>
        <w:t xml:space="preserve"> </w:t>
      </w:r>
      <w:r w:rsidR="00953363">
        <w:t>(</w:t>
      </w:r>
      <w:r>
        <w:t>category B</w:t>
      </w:r>
      <w:r w:rsidR="00953363">
        <w:t xml:space="preserve">) </w:t>
      </w:r>
      <w:r w:rsidR="00046222">
        <w:t xml:space="preserve">are not relevant for the scope </w:t>
      </w:r>
      <w:r>
        <w:t>of this exercise.</w:t>
      </w:r>
    </w:p>
    <w:p w14:paraId="390C4F12" w14:textId="77777777" w:rsidR="00B86C6B" w:rsidRPr="00AA49E5" w:rsidRDefault="00B86C6B" w:rsidP="00D871E3"/>
    <w:p w14:paraId="1F42BE51" w14:textId="109D0CA7" w:rsidR="00EF559C" w:rsidRDefault="00EF559C" w:rsidP="006014D7">
      <w:pPr>
        <w:pStyle w:val="Heading1"/>
        <w:jc w:val="both"/>
      </w:pPr>
      <w:r>
        <w:t>Overview of the different processes</w:t>
      </w:r>
    </w:p>
    <w:p w14:paraId="0CBA6291" w14:textId="4000B16A" w:rsidR="00532DD1" w:rsidRDefault="00532DD1" w:rsidP="006014D7">
      <w:pPr>
        <w:pStyle w:val="Heading2"/>
        <w:numPr>
          <w:ilvl w:val="1"/>
          <w:numId w:val="24"/>
        </w:numPr>
      </w:pPr>
      <w:r>
        <w:t>Processes</w:t>
      </w:r>
    </w:p>
    <w:p w14:paraId="34066597" w14:textId="77777777" w:rsidR="00532DD1" w:rsidRPr="00532DD1" w:rsidRDefault="00532DD1" w:rsidP="00AC520A"/>
    <w:p w14:paraId="45CA2018" w14:textId="0A0EBACE" w:rsidR="00B86C6B" w:rsidRPr="00B86C6B" w:rsidRDefault="00B86C6B" w:rsidP="00D871E3">
      <w:r>
        <w:rPr>
          <w:noProof/>
        </w:rPr>
        <w:drawing>
          <wp:inline distT="0" distB="0" distL="0" distR="0" wp14:anchorId="722116D2" wp14:editId="2051DE4B">
            <wp:extent cx="5731510" cy="2186305"/>
            <wp:effectExtent l="0" t="0" r="2540"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186305"/>
                    </a:xfrm>
                    <a:prstGeom prst="rect">
                      <a:avLst/>
                    </a:prstGeom>
                  </pic:spPr>
                </pic:pic>
              </a:graphicData>
            </a:graphic>
          </wp:inline>
        </w:drawing>
      </w:r>
    </w:p>
    <w:p w14:paraId="1DC35D27" w14:textId="77777777" w:rsidR="00532DD1" w:rsidRPr="00B86C6B" w:rsidRDefault="00532DD1" w:rsidP="00D871E3"/>
    <w:p w14:paraId="14DFF27C" w14:textId="4266A962" w:rsidR="00532DD1" w:rsidRDefault="00532DD1" w:rsidP="006014D7">
      <w:pPr>
        <w:pStyle w:val="Heading2"/>
        <w:numPr>
          <w:ilvl w:val="1"/>
          <w:numId w:val="23"/>
        </w:numPr>
      </w:pPr>
      <w:r>
        <w:t>Timeline</w:t>
      </w:r>
    </w:p>
    <w:p w14:paraId="06027E95" w14:textId="77777777" w:rsidR="002F52EA" w:rsidRDefault="002F52EA" w:rsidP="002F52EA"/>
    <w:p w14:paraId="0D400995" w14:textId="77DA959E" w:rsidR="002F52EA" w:rsidRPr="00221AE5" w:rsidRDefault="002F52EA" w:rsidP="002F52EA">
      <w:pPr>
        <w:jc w:val="both"/>
      </w:pPr>
      <w:r>
        <w:t>Processes 1 and 2 are conducted every year in parallel and are totally independent to the implementation of projects.</w:t>
      </w:r>
    </w:p>
    <w:p w14:paraId="1D0FA1F0" w14:textId="14A7FFEF" w:rsidR="002F52EA" w:rsidRDefault="002F52EA" w:rsidP="002F52EA">
      <w:pPr>
        <w:jc w:val="both"/>
      </w:pPr>
      <w:r>
        <w:t>The aim is to endorse the deliverables of year Y</w:t>
      </w:r>
      <w:r w:rsidR="003E4CC8">
        <w:t xml:space="preserve"> around </w:t>
      </w:r>
      <w:r w:rsidR="0002419C">
        <w:t>June</w:t>
      </w:r>
      <w:r w:rsidR="00953363">
        <w:t xml:space="preserve"> Y</w:t>
      </w:r>
      <w:r>
        <w:t xml:space="preserve">; these deliverables will then be presented in the subsequent CG and SCs. </w:t>
      </w:r>
      <w:r w:rsidR="003E4CC8">
        <w:t>The whole process is expected to last approximately six months.</w:t>
      </w:r>
    </w:p>
    <w:p w14:paraId="2EBE56A7" w14:textId="77777777" w:rsidR="002F52EA" w:rsidRDefault="002F52EA" w:rsidP="002F52EA"/>
    <w:p w14:paraId="38083126" w14:textId="685FAAB5" w:rsidR="002F52EA" w:rsidRDefault="003E4CC8" w:rsidP="002F52EA">
      <w:r w:rsidRPr="003E4CC8">
        <w:rPr>
          <w:noProof/>
        </w:rPr>
        <w:t xml:space="preserve"> </w:t>
      </w:r>
      <w:r w:rsidR="0072697E">
        <w:rPr>
          <w:noProof/>
        </w:rPr>
        <w:drawing>
          <wp:inline distT="0" distB="0" distL="0" distR="0" wp14:anchorId="19429804" wp14:editId="60CB33EB">
            <wp:extent cx="5731510" cy="29032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903220"/>
                    </a:xfrm>
                    <a:prstGeom prst="rect">
                      <a:avLst/>
                    </a:prstGeom>
                  </pic:spPr>
                </pic:pic>
              </a:graphicData>
            </a:graphic>
          </wp:inline>
        </w:drawing>
      </w:r>
    </w:p>
    <w:p w14:paraId="7CA31EE2" w14:textId="77777777" w:rsidR="00181AFE" w:rsidRDefault="00181AFE" w:rsidP="00181AFE"/>
    <w:p w14:paraId="18E4BCBD" w14:textId="009024B9" w:rsidR="00181AFE" w:rsidRDefault="00181AFE" w:rsidP="00181AFE">
      <w:pPr>
        <w:jc w:val="both"/>
      </w:pPr>
      <w:r>
        <w:t xml:space="preserve">During the initiation phase, </w:t>
      </w:r>
      <w:r w:rsidR="003E4CC8">
        <w:t>the SC stakeholders, in an ad-hoc session</w:t>
      </w:r>
      <w:r>
        <w:t xml:space="preserve"> will </w:t>
      </w:r>
      <w:r w:rsidR="003E4CC8">
        <w:t>identify the regulatory priorities</w:t>
      </w:r>
      <w:r>
        <w:t xml:space="preserve">. Following this </w:t>
      </w:r>
      <w:r w:rsidR="003E4CC8">
        <w:t>alignment</w:t>
      </w:r>
      <w:r>
        <w:t xml:space="preserve">, </w:t>
      </w:r>
      <w:r w:rsidR="003E4CC8">
        <w:t>ACER and NRAs</w:t>
      </w:r>
      <w:r>
        <w:t xml:space="preserve"> are assigned the task to perform the prioritisation exercise for the year to come. </w:t>
      </w:r>
    </w:p>
    <w:p w14:paraId="07538846" w14:textId="77777777" w:rsidR="002F52EA" w:rsidRDefault="002F52EA" w:rsidP="002F52EA"/>
    <w:p w14:paraId="0728FCFC" w14:textId="4F867929" w:rsidR="00532DD1" w:rsidRDefault="00532DD1" w:rsidP="006014D7">
      <w:pPr>
        <w:pStyle w:val="Heading2"/>
        <w:numPr>
          <w:ilvl w:val="1"/>
          <w:numId w:val="22"/>
        </w:numPr>
      </w:pPr>
      <w:r>
        <w:t>Governance</w:t>
      </w:r>
    </w:p>
    <w:p w14:paraId="601D8B0A" w14:textId="77777777" w:rsidR="00181AFE" w:rsidRDefault="00181AFE" w:rsidP="00181AFE">
      <w:pPr>
        <w:jc w:val="both"/>
      </w:pPr>
    </w:p>
    <w:p w14:paraId="686BE788" w14:textId="77777777" w:rsidR="00181AFE" w:rsidRDefault="00181AFE" w:rsidP="00181AFE">
      <w:pPr>
        <w:jc w:val="both"/>
      </w:pPr>
      <w:r>
        <w:t xml:space="preserve">Three </w:t>
      </w:r>
      <w:r w:rsidRPr="000356E8">
        <w:rPr>
          <w:b/>
        </w:rPr>
        <w:t>categories of stakeholders</w:t>
      </w:r>
      <w:r>
        <w:t xml:space="preserve"> are involved in this prioritisation exercise:</w:t>
      </w:r>
    </w:p>
    <w:p w14:paraId="0E9E31A3" w14:textId="2D425DD5" w:rsidR="00181AFE" w:rsidRDefault="00181AFE" w:rsidP="006014D7">
      <w:pPr>
        <w:pStyle w:val="ListParagraph"/>
        <w:numPr>
          <w:ilvl w:val="0"/>
          <w:numId w:val="5"/>
        </w:numPr>
        <w:jc w:val="both"/>
      </w:pPr>
      <w:r>
        <w:t xml:space="preserve">ACER and NRAs. Their role is to organize the prioritisation exercise and to produce the </w:t>
      </w:r>
      <w:r w:rsidR="002319F6">
        <w:t>Regulatory Projects Portfolio</w:t>
      </w:r>
      <w:r>
        <w:t xml:space="preserve"> and in a parallel stream, enforce when needed. A case handler is leading the process and can be supported by an expert team. External support regarding the estimation of design and implementation phases of the projects can be provided.</w:t>
      </w:r>
    </w:p>
    <w:p w14:paraId="65E2FCE6" w14:textId="34DD8062" w:rsidR="00181AFE" w:rsidRDefault="00181AFE" w:rsidP="006014D7">
      <w:pPr>
        <w:pStyle w:val="ListParagraph"/>
        <w:numPr>
          <w:ilvl w:val="0"/>
          <w:numId w:val="5"/>
        </w:numPr>
        <w:jc w:val="both"/>
      </w:pPr>
      <w:r>
        <w:t>Regulated entities (TSOs, NEMOs</w:t>
      </w:r>
      <w:r w:rsidR="00953363">
        <w:t>, JAO</w:t>
      </w:r>
      <w:r>
        <w:t xml:space="preserve">…). Their role is to provide input on the status of the ongoing projects, on the dependencies between the different projects, on the implementation efforts needed and on the priorities of the projects. They </w:t>
      </w:r>
      <w:proofErr w:type="gramStart"/>
      <w:r>
        <w:t>are in charge of</w:t>
      </w:r>
      <w:proofErr w:type="gramEnd"/>
      <w:r>
        <w:t xml:space="preserve"> preparing the Regulatory Project Planning.</w:t>
      </w:r>
    </w:p>
    <w:p w14:paraId="500CF6B8" w14:textId="77777777" w:rsidR="00181AFE" w:rsidRDefault="00181AFE" w:rsidP="006014D7">
      <w:pPr>
        <w:pStyle w:val="ListParagraph"/>
        <w:numPr>
          <w:ilvl w:val="0"/>
          <w:numId w:val="5"/>
        </w:numPr>
        <w:jc w:val="both"/>
      </w:pPr>
      <w:r>
        <w:t>Market participants. Their role is to provide input on the priorities of the implementation projects.</w:t>
      </w:r>
    </w:p>
    <w:p w14:paraId="1C61D1A7" w14:textId="77777777" w:rsidR="00181AFE" w:rsidRDefault="00181AFE" w:rsidP="00181AFE">
      <w:pPr>
        <w:jc w:val="both"/>
      </w:pPr>
      <w:r>
        <w:t xml:space="preserve">This process will be on the agenda of the </w:t>
      </w:r>
      <w:r w:rsidRPr="000356E8">
        <w:rPr>
          <w:b/>
        </w:rPr>
        <w:t>following meetings</w:t>
      </w:r>
      <w:r>
        <w:t>:</w:t>
      </w:r>
    </w:p>
    <w:p w14:paraId="6FB4C137" w14:textId="77777777" w:rsidR="00181AFE" w:rsidRDefault="00181AFE" w:rsidP="006014D7">
      <w:pPr>
        <w:pStyle w:val="ListParagraph"/>
        <w:numPr>
          <w:ilvl w:val="0"/>
          <w:numId w:val="6"/>
        </w:numPr>
        <w:jc w:val="both"/>
      </w:pPr>
      <w:r>
        <w:t>ACER Electricity Working Group (‘AEWG’). This group endorses the project prioritisation deliverables and appoints the ACER/NRA case handler for this exercise.</w:t>
      </w:r>
    </w:p>
    <w:p w14:paraId="04655B1D" w14:textId="66167ACF" w:rsidR="00181AFE" w:rsidRDefault="00181AFE" w:rsidP="006014D7">
      <w:pPr>
        <w:pStyle w:val="ListParagraph"/>
        <w:numPr>
          <w:ilvl w:val="0"/>
          <w:numId w:val="6"/>
        </w:numPr>
        <w:jc w:val="both"/>
      </w:pPr>
      <w:r>
        <w:t xml:space="preserve">ACER Task Force (‘TF’). This group </w:t>
      </w:r>
      <w:proofErr w:type="gramStart"/>
      <w:r>
        <w:t>is in charge of</w:t>
      </w:r>
      <w:proofErr w:type="gramEnd"/>
      <w:r>
        <w:t xml:space="preserve"> preparing the project prioritisation deliverables. In case of a regional regulatory project pipeline, the relevant NRA organisation replaces the TF. In that situation, the TF serves as a reporting body.</w:t>
      </w:r>
    </w:p>
    <w:p w14:paraId="3F650C07" w14:textId="77777777" w:rsidR="00181AFE" w:rsidRDefault="00181AFE" w:rsidP="006014D7">
      <w:pPr>
        <w:pStyle w:val="ListParagraph"/>
        <w:numPr>
          <w:ilvl w:val="0"/>
          <w:numId w:val="6"/>
        </w:numPr>
        <w:jc w:val="both"/>
      </w:pPr>
      <w:r>
        <w:t xml:space="preserve">Coordination Group (‘CG’). This group </w:t>
      </w:r>
      <w:proofErr w:type="gramStart"/>
      <w:r>
        <w:t>is in charge of</w:t>
      </w:r>
      <w:proofErr w:type="gramEnd"/>
      <w:r>
        <w:t xml:space="preserve"> collecting the regulated entities input as well as to present the deliverables. In case of a regional regulatory project pipeline, the relevant CG organisation is in </w:t>
      </w:r>
      <w:proofErr w:type="gramStart"/>
      <w:r>
        <w:t>charge</w:t>
      </w:r>
      <w:proofErr w:type="gramEnd"/>
      <w:r>
        <w:t xml:space="preserve"> but the European CG serves as a reporting body.</w:t>
      </w:r>
    </w:p>
    <w:p w14:paraId="228B2DA1" w14:textId="397C2E8E" w:rsidR="00181AFE" w:rsidRDefault="00181AFE" w:rsidP="006014D7">
      <w:pPr>
        <w:pStyle w:val="ListParagraph"/>
        <w:numPr>
          <w:ilvl w:val="0"/>
          <w:numId w:val="6"/>
        </w:numPr>
        <w:jc w:val="both"/>
      </w:pPr>
      <w:r>
        <w:t xml:space="preserve">Stakeholder Committee (‘SC’). This group </w:t>
      </w:r>
      <w:proofErr w:type="gramStart"/>
      <w:r>
        <w:t>is in charge of</w:t>
      </w:r>
      <w:proofErr w:type="gramEnd"/>
      <w:r>
        <w:t xml:space="preserve"> collecting the market participants’ inputs as well as to present the deliverables. In case of a regional regulatory project pipeline, the relevant SC organisation is in </w:t>
      </w:r>
      <w:proofErr w:type="gramStart"/>
      <w:r>
        <w:t>charge</w:t>
      </w:r>
      <w:proofErr w:type="gramEnd"/>
      <w:r>
        <w:t xml:space="preserve"> but the European SC serves as a reporting body.</w:t>
      </w:r>
      <w:r w:rsidR="003E4CC8">
        <w:t xml:space="preserve"> It is expected that the MESC will be the primary SC body but in case this exercise extends to deliverables not linked to the market codes, it is possible that other SCs are involved.</w:t>
      </w:r>
    </w:p>
    <w:p w14:paraId="50623F19" w14:textId="77777777" w:rsidR="00181AFE" w:rsidRDefault="00181AFE" w:rsidP="00181AFE">
      <w:pPr>
        <w:jc w:val="both"/>
      </w:pPr>
    </w:p>
    <w:p w14:paraId="21411791" w14:textId="74FCBF45" w:rsidR="00362A61" w:rsidRDefault="00BB3342" w:rsidP="006014D7">
      <w:pPr>
        <w:pStyle w:val="Heading1"/>
        <w:jc w:val="both"/>
      </w:pPr>
      <w:r>
        <w:t>Process 1 - Project prioritisation</w:t>
      </w:r>
    </w:p>
    <w:p w14:paraId="5931CF38" w14:textId="77777777" w:rsidR="007847F6" w:rsidRDefault="007847F6" w:rsidP="00A11510">
      <w:pPr>
        <w:jc w:val="both"/>
      </w:pPr>
    </w:p>
    <w:p w14:paraId="5ACDC8A3" w14:textId="14372D38" w:rsidR="00121837" w:rsidRDefault="00BB3342" w:rsidP="00D871E3">
      <w:pPr>
        <w:jc w:val="both"/>
      </w:pPr>
      <w:r>
        <w:t xml:space="preserve">This process has one main objective: allow for a continuous insight for all stakeholders on the </w:t>
      </w:r>
      <w:r w:rsidR="007F54C3">
        <w:t>regulatory</w:t>
      </w:r>
      <w:r w:rsidR="00361CC1">
        <w:t xml:space="preserve"> </w:t>
      </w:r>
      <w:proofErr w:type="gramStart"/>
      <w:r>
        <w:t>projects</w:t>
      </w:r>
      <w:proofErr w:type="gramEnd"/>
      <w:r>
        <w:t xml:space="preserve"> </w:t>
      </w:r>
      <w:r w:rsidR="00EF559C">
        <w:t xml:space="preserve">portfolio </w:t>
      </w:r>
      <w:r>
        <w:t>and the priorities of the respective projects.</w:t>
      </w:r>
      <w:bookmarkStart w:id="0" w:name="_Ref124323133"/>
      <w:r w:rsidR="005130BA">
        <w:t xml:space="preserve"> The focus of this process is to define the priorities of the projects on a medium-term perspective (approx. from Y+2 to Y+5).</w:t>
      </w:r>
    </w:p>
    <w:p w14:paraId="239701CA" w14:textId="77777777" w:rsidR="00B23455" w:rsidRPr="00B23455" w:rsidRDefault="00B23455" w:rsidP="00B23455"/>
    <w:p w14:paraId="5A95CDAB" w14:textId="64031DBA" w:rsidR="00221AE5" w:rsidRDefault="00BB3342" w:rsidP="006014D7">
      <w:pPr>
        <w:pStyle w:val="Heading2"/>
        <w:numPr>
          <w:ilvl w:val="0"/>
          <w:numId w:val="12"/>
        </w:numPr>
        <w:jc w:val="both"/>
      </w:pPr>
      <w:r>
        <w:t>Deliverables</w:t>
      </w:r>
      <w:bookmarkEnd w:id="0"/>
    </w:p>
    <w:p w14:paraId="3FFFF9C7" w14:textId="77777777" w:rsidR="00221AE5" w:rsidRDefault="00221AE5" w:rsidP="00A11510">
      <w:pPr>
        <w:jc w:val="both"/>
      </w:pPr>
    </w:p>
    <w:p w14:paraId="5A1E2D45" w14:textId="342385CC" w:rsidR="00221AE5" w:rsidRDefault="00BB3342" w:rsidP="00A11510">
      <w:pPr>
        <w:jc w:val="both"/>
      </w:pPr>
      <w:r>
        <w:t xml:space="preserve">The outcome of the project prioritisation exercise is </w:t>
      </w:r>
      <w:r w:rsidR="00465C7D">
        <w:t xml:space="preserve">first </w:t>
      </w:r>
      <w:r>
        <w:t xml:space="preserve">to produce a </w:t>
      </w:r>
      <w:r w:rsidR="00361CC1">
        <w:t xml:space="preserve">project portfolio </w:t>
      </w:r>
      <w:r w:rsidR="00B054C7">
        <w:t xml:space="preserve">(‘the </w:t>
      </w:r>
      <w:r w:rsidR="002319F6">
        <w:t>Regulatory Projects Portfolio</w:t>
      </w:r>
      <w:r w:rsidR="00361CC1">
        <w:t>’</w:t>
      </w:r>
      <w:r w:rsidR="00B91069">
        <w:t>)</w:t>
      </w:r>
      <w:r>
        <w:t>. In the form</w:t>
      </w:r>
      <w:r w:rsidR="00B91069">
        <w:t xml:space="preserve"> of an excel </w:t>
      </w:r>
      <w:r w:rsidR="00B054C7">
        <w:t xml:space="preserve">sheet, the </w:t>
      </w:r>
      <w:r w:rsidR="002319F6">
        <w:t>Regulatory Projects Portfolio</w:t>
      </w:r>
      <w:r>
        <w:t xml:space="preserve"> contains (at least</w:t>
      </w:r>
      <w:r w:rsidR="00B91069">
        <w:t>) the following information</w:t>
      </w:r>
      <w:r>
        <w:t xml:space="preserve"> on the different implementation projects:</w:t>
      </w:r>
    </w:p>
    <w:p w14:paraId="52BB9212" w14:textId="34C79B72" w:rsidR="00221AE5" w:rsidRDefault="000679AC" w:rsidP="006014D7">
      <w:pPr>
        <w:pStyle w:val="ListParagraph"/>
        <w:numPr>
          <w:ilvl w:val="0"/>
          <w:numId w:val="4"/>
        </w:numPr>
        <w:jc w:val="both"/>
      </w:pPr>
      <w:r>
        <w:t xml:space="preserve">Brief description of the </w:t>
      </w:r>
      <w:r w:rsidR="00361CC1">
        <w:t xml:space="preserve">regulatory </w:t>
      </w:r>
      <w:r>
        <w:t>project</w:t>
      </w:r>
    </w:p>
    <w:p w14:paraId="00DFACDC" w14:textId="574DAFAB" w:rsidR="00221AE5" w:rsidRDefault="00BB3342" w:rsidP="006014D7">
      <w:pPr>
        <w:pStyle w:val="ListParagraph"/>
        <w:numPr>
          <w:ilvl w:val="0"/>
          <w:numId w:val="4"/>
        </w:numPr>
        <w:jc w:val="both"/>
      </w:pPr>
      <w:r>
        <w:t xml:space="preserve">Regulatory </w:t>
      </w:r>
      <w:r w:rsidR="007847F6">
        <w:t>implementation deadline</w:t>
      </w:r>
      <w:r>
        <w:t xml:space="preserve"> of the</w:t>
      </w:r>
      <w:r w:rsidR="00B054C7">
        <w:t xml:space="preserve"> </w:t>
      </w:r>
      <w:r w:rsidR="00361CC1">
        <w:t xml:space="preserve">regulatory </w:t>
      </w:r>
      <w:r w:rsidR="00917A15">
        <w:t>project (to be defined, implementation deadline</w:t>
      </w:r>
      <w:r w:rsidR="0079770F">
        <w:t>, legal text in which the deadline is defined</w:t>
      </w:r>
      <w:r>
        <w:t>)</w:t>
      </w:r>
    </w:p>
    <w:p w14:paraId="1FF7321D" w14:textId="5A590936" w:rsidR="00B91069" w:rsidRDefault="00BB3342" w:rsidP="006014D7">
      <w:pPr>
        <w:pStyle w:val="ListParagraph"/>
        <w:numPr>
          <w:ilvl w:val="0"/>
          <w:numId w:val="4"/>
        </w:numPr>
        <w:jc w:val="both"/>
      </w:pPr>
      <w:r>
        <w:t xml:space="preserve">Implementation status of the </w:t>
      </w:r>
      <w:r w:rsidR="00361CC1">
        <w:t xml:space="preserve">regulatory </w:t>
      </w:r>
      <w:r>
        <w:t>project (to be started, design phase, implementation phase)</w:t>
      </w:r>
    </w:p>
    <w:p w14:paraId="2734B9B3" w14:textId="77777777" w:rsidR="00465C7D" w:rsidRDefault="00BB3342" w:rsidP="006014D7">
      <w:pPr>
        <w:pStyle w:val="ListParagraph"/>
        <w:numPr>
          <w:ilvl w:val="0"/>
          <w:numId w:val="4"/>
        </w:numPr>
        <w:jc w:val="both"/>
      </w:pPr>
      <w:r>
        <w:t>Project pipeline (</w:t>
      </w:r>
      <w:proofErr w:type="gramStart"/>
      <w:r w:rsidR="0075490C">
        <w:t>e.g.</w:t>
      </w:r>
      <w:proofErr w:type="gramEnd"/>
      <w:r w:rsidR="0075490C">
        <w:t xml:space="preserve"> CACM </w:t>
      </w:r>
      <w:r>
        <w:t xml:space="preserve">SDAC/SIDC, </w:t>
      </w:r>
      <w:r w:rsidR="0075490C">
        <w:t xml:space="preserve">CACM </w:t>
      </w:r>
      <w:r>
        <w:t>NEMOs/TSOs/joint</w:t>
      </w:r>
      <w:r w:rsidR="0075490C">
        <w:t>, EB TSOs, FCA TSOs</w:t>
      </w:r>
      <w:r>
        <w:t>)</w:t>
      </w:r>
    </w:p>
    <w:p w14:paraId="2CC4DF05" w14:textId="74AE03C8" w:rsidR="00B91069" w:rsidRDefault="00BB3342" w:rsidP="006014D7">
      <w:pPr>
        <w:pStyle w:val="ListParagraph"/>
        <w:numPr>
          <w:ilvl w:val="0"/>
          <w:numId w:val="4"/>
        </w:numPr>
        <w:jc w:val="both"/>
      </w:pPr>
      <w:r>
        <w:t>Project priority (qualitative rating</w:t>
      </w:r>
      <w:r w:rsidR="00F825B2">
        <w:t xml:space="preserve">, see section </w:t>
      </w:r>
      <w:r w:rsidR="00664632">
        <w:t>6</w:t>
      </w:r>
      <w:r w:rsidR="00F825B2">
        <w:t>.</w:t>
      </w:r>
      <w:r w:rsidR="00664632">
        <w:t>4</w:t>
      </w:r>
      <w:r>
        <w:t>)</w:t>
      </w:r>
    </w:p>
    <w:p w14:paraId="3EE0EAF0" w14:textId="395C3065" w:rsidR="00361CC1" w:rsidRDefault="00BB3342" w:rsidP="006014D7">
      <w:pPr>
        <w:pStyle w:val="ListParagraph"/>
        <w:numPr>
          <w:ilvl w:val="0"/>
          <w:numId w:val="4"/>
        </w:numPr>
        <w:jc w:val="both"/>
      </w:pPr>
      <w:r>
        <w:t>Interactions</w:t>
      </w:r>
      <w:r w:rsidR="00B054C7">
        <w:t>/dependencies</w:t>
      </w:r>
      <w:r>
        <w:t xml:space="preserve"> with other </w:t>
      </w:r>
      <w:r w:rsidR="00B054C7">
        <w:t xml:space="preserve">implementation </w:t>
      </w:r>
      <w:r>
        <w:t>projects</w:t>
      </w:r>
      <w:r w:rsidR="00B054C7">
        <w:t xml:space="preserve"> (depends on X, blocks project X, …)</w:t>
      </w:r>
    </w:p>
    <w:p w14:paraId="53591255" w14:textId="52D40CC9" w:rsidR="00B91069" w:rsidRDefault="00BB3342" w:rsidP="00A11510">
      <w:pPr>
        <w:jc w:val="both"/>
      </w:pPr>
      <w:r>
        <w:t xml:space="preserve">The </w:t>
      </w:r>
      <w:r w:rsidR="00361CC1">
        <w:t xml:space="preserve">regulatory </w:t>
      </w:r>
      <w:r>
        <w:t xml:space="preserve">projects are ordered in the </w:t>
      </w:r>
      <w:r w:rsidR="002319F6">
        <w:t>Regulatory Projects Portfolio</w:t>
      </w:r>
      <w:r>
        <w:t xml:space="preserve"> according first to their implementation status and second to their project priority.</w:t>
      </w:r>
    </w:p>
    <w:p w14:paraId="1B212D3C" w14:textId="51D0BB99" w:rsidR="00221AE5" w:rsidRPr="00221AE5" w:rsidRDefault="00BB3342" w:rsidP="00A11510">
      <w:pPr>
        <w:jc w:val="both"/>
      </w:pPr>
      <w:r>
        <w:t xml:space="preserve">This exercise should also deliver a planning (‘the </w:t>
      </w:r>
      <w:r w:rsidR="00361CC1">
        <w:t xml:space="preserve">Regulatory </w:t>
      </w:r>
      <w:r>
        <w:t xml:space="preserve">Project Planning’) in a </w:t>
      </w:r>
      <w:proofErr w:type="spellStart"/>
      <w:r>
        <w:t>powerpoint</w:t>
      </w:r>
      <w:proofErr w:type="spellEnd"/>
      <w:r>
        <w:t xml:space="preserve"> format detailing over the next </w:t>
      </w:r>
      <w:r w:rsidR="0002419C">
        <w:t>5</w:t>
      </w:r>
      <w:r>
        <w:t xml:space="preserve"> years the different projects to be implemented, highlighting the design and implementation phases. </w:t>
      </w:r>
      <w:r w:rsidR="00BC2315">
        <w:t>Regulated entities</w:t>
      </w:r>
      <w:r w:rsidR="00361CC1">
        <w:t xml:space="preserve"> (see section </w:t>
      </w:r>
      <w:r w:rsidR="00361CC1">
        <w:fldChar w:fldCharType="begin"/>
      </w:r>
      <w:r w:rsidR="00361CC1">
        <w:instrText xml:space="preserve"> REF _Ref135037562 \r \h </w:instrText>
      </w:r>
      <w:r w:rsidR="00361CC1">
        <w:fldChar w:fldCharType="separate"/>
      </w:r>
      <w:r w:rsidR="007A7AE5">
        <w:t>6.2</w:t>
      </w:r>
      <w:r w:rsidR="00361CC1">
        <w:fldChar w:fldCharType="end"/>
      </w:r>
      <w:r w:rsidR="00361CC1">
        <w:t xml:space="preserve">) </w:t>
      </w:r>
      <w:proofErr w:type="gramStart"/>
      <w:r w:rsidR="00361CC1">
        <w:t>are in charge of</w:t>
      </w:r>
      <w:proofErr w:type="gramEnd"/>
      <w:r w:rsidR="00361CC1">
        <w:t xml:space="preserve"> preparing this deliverable. </w:t>
      </w:r>
      <w:r>
        <w:t xml:space="preserve">The </w:t>
      </w:r>
      <w:r w:rsidR="00361CC1">
        <w:t xml:space="preserve">Regulatory </w:t>
      </w:r>
      <w:r>
        <w:t>Project Planning contains planning for all the different pipelines</w:t>
      </w:r>
      <w:r w:rsidR="00361CC1">
        <w:t xml:space="preserve"> under this framework</w:t>
      </w:r>
      <w:r>
        <w:t xml:space="preserve">. </w:t>
      </w:r>
    </w:p>
    <w:p w14:paraId="2AF2E661" w14:textId="77777777" w:rsidR="00BA0703" w:rsidRPr="00221AE5" w:rsidRDefault="00BA0703" w:rsidP="00A11510">
      <w:pPr>
        <w:jc w:val="both"/>
      </w:pPr>
    </w:p>
    <w:p w14:paraId="04184BBC" w14:textId="68E35766" w:rsidR="00221AE5" w:rsidRDefault="002F52EA" w:rsidP="006014D7">
      <w:pPr>
        <w:pStyle w:val="Heading2"/>
        <w:numPr>
          <w:ilvl w:val="0"/>
          <w:numId w:val="12"/>
        </w:numPr>
        <w:jc w:val="both"/>
      </w:pPr>
      <w:r>
        <w:t>Detailed t</w:t>
      </w:r>
      <w:r w:rsidR="00BB3342">
        <w:t>imeline</w:t>
      </w:r>
    </w:p>
    <w:p w14:paraId="331E16AE" w14:textId="77777777" w:rsidR="00221AE5" w:rsidRDefault="00221AE5" w:rsidP="00A11510">
      <w:pPr>
        <w:jc w:val="both"/>
      </w:pPr>
    </w:p>
    <w:p w14:paraId="03383826" w14:textId="77777777" w:rsidR="00384F14" w:rsidRDefault="00BB3342" w:rsidP="00A11510">
      <w:pPr>
        <w:jc w:val="both"/>
      </w:pPr>
      <w:r>
        <w:t>Three distinct phases can be identified:</w:t>
      </w:r>
    </w:p>
    <w:p w14:paraId="2CC2002F" w14:textId="585D665D" w:rsidR="00331E12" w:rsidRDefault="00BB3342" w:rsidP="006014D7">
      <w:pPr>
        <w:pStyle w:val="ListParagraph"/>
        <w:numPr>
          <w:ilvl w:val="0"/>
          <w:numId w:val="10"/>
        </w:numPr>
        <w:jc w:val="both"/>
      </w:pPr>
      <w:r>
        <w:t xml:space="preserve">The </w:t>
      </w:r>
      <w:r w:rsidRPr="00384F14">
        <w:rPr>
          <w:b/>
        </w:rPr>
        <w:t>initiation phase</w:t>
      </w:r>
      <w:r>
        <w:t xml:space="preserve"> during which</w:t>
      </w:r>
    </w:p>
    <w:p w14:paraId="13CEDC53" w14:textId="2591DCA3" w:rsidR="00331E12" w:rsidRDefault="00331E12" w:rsidP="006014D7">
      <w:pPr>
        <w:pStyle w:val="ListParagraph"/>
        <w:numPr>
          <w:ilvl w:val="1"/>
          <w:numId w:val="10"/>
        </w:numPr>
        <w:jc w:val="both"/>
      </w:pPr>
      <w:r>
        <w:t xml:space="preserve">the </w:t>
      </w:r>
      <w:r w:rsidR="003E4CC8">
        <w:t xml:space="preserve">SC </w:t>
      </w:r>
      <w:r>
        <w:t xml:space="preserve">identifies the </w:t>
      </w:r>
      <w:r w:rsidR="003E4CC8">
        <w:t xml:space="preserve">regulatory priorities for the years to </w:t>
      </w:r>
      <w:proofErr w:type="gramStart"/>
      <w:r w:rsidR="003E4CC8">
        <w:t>come</w:t>
      </w:r>
      <w:proofErr w:type="gramEnd"/>
    </w:p>
    <w:p w14:paraId="1ECEAF92" w14:textId="6AC466F5" w:rsidR="00384F14" w:rsidRDefault="00BB3342" w:rsidP="006014D7">
      <w:pPr>
        <w:pStyle w:val="ListParagraph"/>
        <w:numPr>
          <w:ilvl w:val="1"/>
          <w:numId w:val="10"/>
        </w:numPr>
        <w:jc w:val="both"/>
      </w:pPr>
      <w:r>
        <w:t xml:space="preserve">the </w:t>
      </w:r>
      <w:r w:rsidR="003E4CC8">
        <w:t xml:space="preserve">ACER </w:t>
      </w:r>
      <w:r>
        <w:t>TF</w:t>
      </w:r>
      <w:r w:rsidR="00331E12">
        <w:t>(s)</w:t>
      </w:r>
      <w:r w:rsidR="009D673F">
        <w:t>, in coordination with the relevant regional groups,</w:t>
      </w:r>
      <w:r>
        <w:t xml:space="preserve"> </w:t>
      </w:r>
      <w:r w:rsidR="00331E12">
        <w:t xml:space="preserve">identifies the relevant regulatory projects to be considered as part of the exercise and consult the list with the relevant </w:t>
      </w:r>
      <w:r w:rsidR="00BC2315">
        <w:t xml:space="preserve">regulated </w:t>
      </w:r>
      <w:proofErr w:type="gramStart"/>
      <w:r w:rsidR="00BC2315">
        <w:t>entities</w:t>
      </w:r>
      <w:proofErr w:type="gramEnd"/>
      <w:r w:rsidR="00BC2315">
        <w:t xml:space="preserve"> </w:t>
      </w:r>
    </w:p>
    <w:p w14:paraId="6165AF0C" w14:textId="1C11BA56" w:rsidR="00331E12" w:rsidRDefault="00331E12" w:rsidP="006014D7">
      <w:pPr>
        <w:pStyle w:val="ListParagraph"/>
        <w:numPr>
          <w:ilvl w:val="1"/>
          <w:numId w:val="10"/>
        </w:numPr>
        <w:jc w:val="both"/>
      </w:pPr>
      <w:r>
        <w:t xml:space="preserve">the </w:t>
      </w:r>
      <w:r w:rsidR="003E4CC8">
        <w:t xml:space="preserve">ACER </w:t>
      </w:r>
      <w:r>
        <w:t>TF(s)</w:t>
      </w:r>
      <w:r w:rsidR="009D673F">
        <w:t>, in coordination with the relevant regional groups,</w:t>
      </w:r>
      <w:r>
        <w:t xml:space="preserve"> pr</w:t>
      </w:r>
      <w:r w:rsidR="00F10873">
        <w:t xml:space="preserve">epares a first version of the Regulatory Project </w:t>
      </w:r>
      <w:r w:rsidR="00790615">
        <w:t xml:space="preserve">Portfolio </w:t>
      </w:r>
      <w:r w:rsidR="00F10873">
        <w:t xml:space="preserve">for </w:t>
      </w:r>
      <w:proofErr w:type="gramStart"/>
      <w:r w:rsidR="00F10873">
        <w:t>consultation</w:t>
      </w:r>
      <w:proofErr w:type="gramEnd"/>
    </w:p>
    <w:p w14:paraId="20C17786" w14:textId="4E77D415" w:rsidR="00F10873" w:rsidRDefault="00BC2315" w:rsidP="006014D7">
      <w:pPr>
        <w:pStyle w:val="ListParagraph"/>
        <w:numPr>
          <w:ilvl w:val="1"/>
          <w:numId w:val="10"/>
        </w:numPr>
        <w:jc w:val="both"/>
      </w:pPr>
      <w:r>
        <w:t>Regulated entities</w:t>
      </w:r>
      <w:r w:rsidR="00F10873">
        <w:t xml:space="preserve"> prepare a first version of the Regulatory Project </w:t>
      </w:r>
      <w:r w:rsidR="008559FA">
        <w:t>Planning</w:t>
      </w:r>
    </w:p>
    <w:p w14:paraId="7A323C7E" w14:textId="087A98AB" w:rsidR="00384F14" w:rsidRDefault="00BB3342" w:rsidP="006014D7">
      <w:pPr>
        <w:pStyle w:val="ListParagraph"/>
        <w:numPr>
          <w:ilvl w:val="0"/>
          <w:numId w:val="10"/>
        </w:numPr>
        <w:jc w:val="both"/>
      </w:pPr>
      <w:r>
        <w:t xml:space="preserve">The </w:t>
      </w:r>
      <w:r w:rsidRPr="00384F14">
        <w:rPr>
          <w:b/>
        </w:rPr>
        <w:t>consultation phase</w:t>
      </w:r>
      <w:r>
        <w:t xml:space="preserve"> during which stakeholders will provide input on the </w:t>
      </w:r>
      <w:r w:rsidR="00EF559C">
        <w:t xml:space="preserve">portfolio </w:t>
      </w:r>
      <w:r>
        <w:t>proposed by the TF</w:t>
      </w:r>
      <w:r w:rsidR="00331E12">
        <w:t>(s)</w:t>
      </w:r>
      <w:r w:rsidR="00F10873">
        <w:t xml:space="preserve"> through an ACER </w:t>
      </w:r>
      <w:r w:rsidR="00505B88">
        <w:t xml:space="preserve">targeted </w:t>
      </w:r>
      <w:r w:rsidR="00F10873">
        <w:t>consultation</w:t>
      </w:r>
      <w:r w:rsidR="008A3A99">
        <w:t xml:space="preserve"> of </w:t>
      </w:r>
      <w:r w:rsidR="00505B88">
        <w:t xml:space="preserve">the MESC members of </w:t>
      </w:r>
      <w:r w:rsidR="008A3A99">
        <w:t xml:space="preserve">at least </w:t>
      </w:r>
      <w:r w:rsidR="004815FF">
        <w:t>4</w:t>
      </w:r>
      <w:r w:rsidR="008A3A99">
        <w:t xml:space="preserve"> weeks</w:t>
      </w:r>
      <w:r w:rsidR="00F10873">
        <w:t xml:space="preserve"> and a discussion in the relevant CG and SC meetings (+ ad-hoc meetings if relevant)</w:t>
      </w:r>
    </w:p>
    <w:p w14:paraId="7447B76A" w14:textId="3E36709A" w:rsidR="00384F14" w:rsidRDefault="00BB3342" w:rsidP="006014D7">
      <w:pPr>
        <w:pStyle w:val="ListParagraph"/>
        <w:numPr>
          <w:ilvl w:val="0"/>
          <w:numId w:val="10"/>
        </w:numPr>
        <w:jc w:val="both"/>
      </w:pPr>
      <w:r>
        <w:t xml:space="preserve">The </w:t>
      </w:r>
      <w:r w:rsidRPr="00384F14">
        <w:rPr>
          <w:b/>
        </w:rPr>
        <w:t>finalisation phase</w:t>
      </w:r>
      <w:r>
        <w:t xml:space="preserve"> during which the TF</w:t>
      </w:r>
      <w:r w:rsidR="009D673F">
        <w:t>(s)</w:t>
      </w:r>
      <w:r>
        <w:t xml:space="preserve"> will consolidate the received inputs into an updated </w:t>
      </w:r>
      <w:r w:rsidR="002319F6">
        <w:t>Regulatory Projects Portfolio</w:t>
      </w:r>
      <w:r>
        <w:t>.</w:t>
      </w:r>
      <w:r w:rsidR="009D673F">
        <w:t xml:space="preserve"> The </w:t>
      </w:r>
      <w:r w:rsidR="00BC2315">
        <w:t>regulated entities</w:t>
      </w:r>
      <w:r w:rsidR="009D673F">
        <w:t xml:space="preserve"> also consolidate the inputs into an updated Regulatory Project Planning.</w:t>
      </w:r>
      <w:r>
        <w:t xml:space="preserve"> The </w:t>
      </w:r>
      <w:r w:rsidR="00EF559C">
        <w:t xml:space="preserve">portfolios </w:t>
      </w:r>
      <w:r>
        <w:t>of the different TF</w:t>
      </w:r>
      <w:r w:rsidR="00331E12">
        <w:t>(</w:t>
      </w:r>
      <w:r>
        <w:t>s</w:t>
      </w:r>
      <w:r w:rsidR="00331E12">
        <w:t>)</w:t>
      </w:r>
      <w:r>
        <w:t xml:space="preserve"> are then merged and submitted to the </w:t>
      </w:r>
      <w:r w:rsidR="002F52EA">
        <w:t xml:space="preserve">November </w:t>
      </w:r>
      <w:r>
        <w:t>AEWG for endorsement.</w:t>
      </w:r>
      <w:r w:rsidR="00F10873">
        <w:t xml:space="preserve"> The deliverables are presented in the CG and SC.</w:t>
      </w:r>
      <w:r w:rsidR="007C43A8">
        <w:t xml:space="preserve"> Responses to the public consultation as well as feedback to those responses will be made public</w:t>
      </w:r>
      <w:r w:rsidR="002F52EA">
        <w:t>,</w:t>
      </w:r>
      <w:r w:rsidR="00CC1633">
        <w:t xml:space="preserve"> </w:t>
      </w:r>
      <w:r w:rsidR="002F52EA">
        <w:t>l</w:t>
      </w:r>
      <w:r w:rsidR="00CC1633">
        <w:t xml:space="preserve">essons learned of the process </w:t>
      </w:r>
      <w:r w:rsidR="002F52EA">
        <w:t>as well</w:t>
      </w:r>
      <w:r w:rsidR="00CC1633">
        <w:t>.</w:t>
      </w:r>
    </w:p>
    <w:p w14:paraId="2C8CD82F" w14:textId="590653FA" w:rsidR="00DA59EE" w:rsidRDefault="00DA59EE" w:rsidP="00D871E3">
      <w:pPr>
        <w:jc w:val="both"/>
      </w:pPr>
    </w:p>
    <w:p w14:paraId="03BEB656" w14:textId="6BA413CF" w:rsidR="00362A61" w:rsidRDefault="00BB3342" w:rsidP="006014D7">
      <w:pPr>
        <w:pStyle w:val="Heading2"/>
        <w:numPr>
          <w:ilvl w:val="0"/>
          <w:numId w:val="12"/>
        </w:numPr>
        <w:jc w:val="both"/>
      </w:pPr>
      <w:r>
        <w:t>Criteria</w:t>
      </w:r>
    </w:p>
    <w:p w14:paraId="4665B4DE" w14:textId="77777777" w:rsidR="000356E8" w:rsidRDefault="000356E8" w:rsidP="00A11510">
      <w:pPr>
        <w:jc w:val="both"/>
      </w:pPr>
    </w:p>
    <w:p w14:paraId="46D88842" w14:textId="0725D309" w:rsidR="000356E8" w:rsidRDefault="00BB3342" w:rsidP="00A11510">
      <w:pPr>
        <w:jc w:val="both"/>
      </w:pPr>
      <w:r>
        <w:t xml:space="preserve">Based on the objectives defined in </w:t>
      </w:r>
      <w:r w:rsidRPr="00B00AA3">
        <w:t xml:space="preserve">Regulation (EU) 2019/943 </w:t>
      </w:r>
      <w:r>
        <w:t xml:space="preserve">(‘Electricity Regulation’) Article 59(4), prioritisation criteria can be defined, </w:t>
      </w:r>
      <w:proofErr w:type="gramStart"/>
      <w:r>
        <w:t>in order to</w:t>
      </w:r>
      <w:proofErr w:type="gramEnd"/>
      <w:r>
        <w:t xml:space="preserve"> build </w:t>
      </w:r>
      <w:r w:rsidR="0075490C">
        <w:t>a qualitative project priority rating. The proposed criteria are the following:</w:t>
      </w:r>
    </w:p>
    <w:p w14:paraId="255D3661" w14:textId="4680368B" w:rsidR="00953363" w:rsidRDefault="00953363" w:rsidP="00953363">
      <w:pPr>
        <w:pStyle w:val="ListParagraph"/>
        <w:numPr>
          <w:ilvl w:val="0"/>
          <w:numId w:val="7"/>
        </w:numPr>
        <w:jc w:val="both"/>
      </w:pPr>
      <w:r>
        <w:t xml:space="preserve">Overall efficiency </w:t>
      </w:r>
    </w:p>
    <w:p w14:paraId="7BF01D1F" w14:textId="77777777" w:rsidR="009430EE" w:rsidRDefault="00BB3342" w:rsidP="006014D7">
      <w:pPr>
        <w:pStyle w:val="ListParagraph"/>
        <w:numPr>
          <w:ilvl w:val="0"/>
          <w:numId w:val="7"/>
        </w:numPr>
        <w:jc w:val="both"/>
      </w:pPr>
      <w:r>
        <w:t>Effectiveness to e</w:t>
      </w:r>
      <w:r w:rsidR="0075490C">
        <w:t xml:space="preserve">nhance market </w:t>
      </w:r>
      <w:proofErr w:type="gramStart"/>
      <w:r w:rsidR="0075490C">
        <w:t>integration</w:t>
      </w:r>
      <w:proofErr w:type="gramEnd"/>
      <w:r w:rsidR="0075490C">
        <w:t xml:space="preserve"> </w:t>
      </w:r>
      <w:r>
        <w:t xml:space="preserve"> </w:t>
      </w:r>
    </w:p>
    <w:p w14:paraId="459A2399" w14:textId="77777777" w:rsidR="009430EE" w:rsidRDefault="00BB3342" w:rsidP="006014D7">
      <w:pPr>
        <w:pStyle w:val="ListParagraph"/>
        <w:numPr>
          <w:ilvl w:val="0"/>
          <w:numId w:val="7"/>
        </w:numPr>
        <w:jc w:val="both"/>
      </w:pPr>
      <w:r>
        <w:t xml:space="preserve">Effectiveness to </w:t>
      </w:r>
      <w:r w:rsidR="0075490C">
        <w:t xml:space="preserve">ensure </w:t>
      </w:r>
      <w:proofErr w:type="gramStart"/>
      <w:r w:rsidR="0075490C">
        <w:t>non-discrimination</w:t>
      </w:r>
      <w:proofErr w:type="gramEnd"/>
      <w:r w:rsidR="0075490C">
        <w:t xml:space="preserve"> </w:t>
      </w:r>
    </w:p>
    <w:p w14:paraId="45548FCE" w14:textId="77777777" w:rsidR="009430EE" w:rsidRDefault="00BB3342" w:rsidP="006014D7">
      <w:pPr>
        <w:pStyle w:val="ListParagraph"/>
        <w:numPr>
          <w:ilvl w:val="0"/>
          <w:numId w:val="7"/>
        </w:numPr>
        <w:jc w:val="both"/>
      </w:pPr>
      <w:r>
        <w:t>Effectivenes</w:t>
      </w:r>
      <w:r w:rsidR="0075490C">
        <w:t xml:space="preserve">s to increase </w:t>
      </w:r>
      <w:proofErr w:type="gramStart"/>
      <w:r w:rsidR="0075490C">
        <w:t>competition</w:t>
      </w:r>
      <w:proofErr w:type="gramEnd"/>
      <w:r w:rsidR="0075490C">
        <w:t xml:space="preserve"> </w:t>
      </w:r>
    </w:p>
    <w:p w14:paraId="581DA8E7" w14:textId="77777777" w:rsidR="009430EE" w:rsidRDefault="00BB3342" w:rsidP="006014D7">
      <w:pPr>
        <w:pStyle w:val="ListParagraph"/>
        <w:numPr>
          <w:ilvl w:val="0"/>
          <w:numId w:val="7"/>
        </w:numPr>
        <w:jc w:val="both"/>
      </w:pPr>
      <w:r>
        <w:t>E</w:t>
      </w:r>
      <w:r w:rsidRPr="009430EE">
        <w:t xml:space="preserve">ffectiveness to enhance the efficient functioning of the </w:t>
      </w:r>
      <w:proofErr w:type="gramStart"/>
      <w:r w:rsidRPr="009430EE">
        <w:t>market</w:t>
      </w:r>
      <w:proofErr w:type="gramEnd"/>
    </w:p>
    <w:p w14:paraId="0F61E864" w14:textId="1E2DDE01" w:rsidR="00F10873" w:rsidRDefault="009032D3" w:rsidP="00F10873">
      <w:pPr>
        <w:jc w:val="both"/>
      </w:pPr>
      <w:r>
        <w:t xml:space="preserve">These criteria can be declined in a concrete set of parameters to be assessed. The proposed list of parameters can be found below. </w:t>
      </w:r>
    </w:p>
    <w:p w14:paraId="394B64E2" w14:textId="3FB94EA9" w:rsidR="00953363" w:rsidRDefault="00953363" w:rsidP="00953363">
      <w:pPr>
        <w:pStyle w:val="ListParagraph"/>
        <w:numPr>
          <w:ilvl w:val="0"/>
          <w:numId w:val="18"/>
        </w:numPr>
        <w:jc w:val="both"/>
      </w:pPr>
      <w:r w:rsidRPr="00385E42">
        <w:t>Overall efficiency</w:t>
      </w:r>
      <w:r>
        <w:t xml:space="preserve"> </w:t>
      </w:r>
    </w:p>
    <w:p w14:paraId="1C6A16F5" w14:textId="0D912DBD" w:rsidR="00953363" w:rsidRDefault="00953363" w:rsidP="00953363">
      <w:pPr>
        <w:pStyle w:val="ListParagraph"/>
        <w:numPr>
          <w:ilvl w:val="1"/>
          <w:numId w:val="18"/>
        </w:numPr>
        <w:jc w:val="both"/>
      </w:pPr>
      <w:r w:rsidRPr="00D871E3">
        <w:t xml:space="preserve">Overall benefits compared to </w:t>
      </w:r>
      <w:r>
        <w:t>costs for</w:t>
      </w:r>
      <w:r w:rsidRPr="00D871E3">
        <w:t xml:space="preserve"> </w:t>
      </w:r>
      <w:r>
        <w:t xml:space="preserve">all </w:t>
      </w:r>
      <w:r w:rsidRPr="00D871E3">
        <w:t xml:space="preserve">stakeholders </w:t>
      </w:r>
      <w:r>
        <w:t>and</w:t>
      </w:r>
      <w:r w:rsidRPr="00D871E3">
        <w:t xml:space="preserve"> impact on assets and implementation </w:t>
      </w:r>
      <w:proofErr w:type="gramStart"/>
      <w:r w:rsidRPr="00D871E3">
        <w:t>efforts</w:t>
      </w:r>
      <w:proofErr w:type="gramEnd"/>
    </w:p>
    <w:p w14:paraId="246754A2" w14:textId="25A815EE" w:rsidR="00420CCA" w:rsidRDefault="00420CCA" w:rsidP="00953363">
      <w:pPr>
        <w:pStyle w:val="ListParagraph"/>
        <w:numPr>
          <w:ilvl w:val="1"/>
          <w:numId w:val="18"/>
        </w:numPr>
        <w:jc w:val="both"/>
      </w:pPr>
      <w:r>
        <w:t>Market consensus</w:t>
      </w:r>
    </w:p>
    <w:p w14:paraId="42D57E9D" w14:textId="77777777" w:rsidR="00953363" w:rsidRDefault="00953363" w:rsidP="009A576B">
      <w:pPr>
        <w:pStyle w:val="ListParagraph"/>
        <w:ind w:left="1440"/>
        <w:jc w:val="both"/>
      </w:pPr>
    </w:p>
    <w:p w14:paraId="34A1639A" w14:textId="50D07D13" w:rsidR="00EF559C" w:rsidRDefault="00385E42" w:rsidP="006014D7">
      <w:pPr>
        <w:pStyle w:val="ListParagraph"/>
        <w:numPr>
          <w:ilvl w:val="0"/>
          <w:numId w:val="18"/>
        </w:numPr>
        <w:jc w:val="both"/>
      </w:pPr>
      <w:r w:rsidRPr="00385E42">
        <w:t xml:space="preserve">Effectiveness to enhance market </w:t>
      </w:r>
      <w:proofErr w:type="gramStart"/>
      <w:r w:rsidRPr="00385E42">
        <w:t>integration</w:t>
      </w:r>
      <w:proofErr w:type="gramEnd"/>
    </w:p>
    <w:p w14:paraId="510A9ADA" w14:textId="285DCD02" w:rsidR="00385E42" w:rsidRPr="009032D3" w:rsidRDefault="009A576B" w:rsidP="006014D7">
      <w:pPr>
        <w:pStyle w:val="ListParagraph"/>
        <w:numPr>
          <w:ilvl w:val="1"/>
          <w:numId w:val="18"/>
        </w:numPr>
        <w:jc w:val="both"/>
      </w:pPr>
      <w:r>
        <w:t xml:space="preserve">Allows the inclusion of new </w:t>
      </w:r>
      <w:r w:rsidR="008D4A5A">
        <w:t xml:space="preserve">bidding zones/ bidding zone </w:t>
      </w:r>
      <w:proofErr w:type="gramStart"/>
      <w:r>
        <w:t>borders</w:t>
      </w:r>
      <w:proofErr w:type="gramEnd"/>
      <w:r>
        <w:t xml:space="preserve"> </w:t>
      </w:r>
    </w:p>
    <w:p w14:paraId="695B2EEC" w14:textId="501FAA09" w:rsidR="00385E42" w:rsidRDefault="00385E42" w:rsidP="006014D7">
      <w:pPr>
        <w:pStyle w:val="ListParagraph"/>
        <w:numPr>
          <w:ilvl w:val="1"/>
          <w:numId w:val="18"/>
        </w:numPr>
        <w:jc w:val="both"/>
      </w:pPr>
      <w:r w:rsidRPr="00D871E3">
        <w:t>Allows for harmonisation</w:t>
      </w:r>
      <w:r w:rsidR="004373C1">
        <w:t xml:space="preserve"> </w:t>
      </w:r>
      <w:r w:rsidRPr="00D871E3">
        <w:t>of rules</w:t>
      </w:r>
      <w:r w:rsidR="004373C1">
        <w:t xml:space="preserve"> or processes</w:t>
      </w:r>
      <w:r w:rsidRPr="00D871E3">
        <w:t xml:space="preserve"> (either across timeframes/regions)</w:t>
      </w:r>
    </w:p>
    <w:p w14:paraId="69CB07FD" w14:textId="36E9379F" w:rsidR="0002419C" w:rsidRDefault="0002419C" w:rsidP="0002419C">
      <w:pPr>
        <w:pStyle w:val="ListParagraph"/>
        <w:numPr>
          <w:ilvl w:val="1"/>
          <w:numId w:val="18"/>
        </w:numPr>
        <w:jc w:val="both"/>
      </w:pPr>
      <w:r w:rsidRPr="00D871E3">
        <w:t>Coherenc</w:t>
      </w:r>
      <w:r w:rsidR="00953363">
        <w:t>e</w:t>
      </w:r>
      <w:r w:rsidRPr="00D871E3">
        <w:t xml:space="preserve"> with principles/functioning of </w:t>
      </w:r>
      <w:r>
        <w:t xml:space="preserve">the EU policies in general (such as decarbonization, SoS, etc.) and </w:t>
      </w:r>
      <w:r w:rsidRPr="00D871E3">
        <w:t>other timeframes/regions/markets</w:t>
      </w:r>
    </w:p>
    <w:p w14:paraId="5AD53873" w14:textId="77777777" w:rsidR="00385E42" w:rsidRDefault="00385E42" w:rsidP="0028378E">
      <w:pPr>
        <w:pStyle w:val="ListParagraph"/>
        <w:ind w:left="1440"/>
        <w:jc w:val="both"/>
      </w:pPr>
    </w:p>
    <w:p w14:paraId="4C03DD71" w14:textId="4452C3AF" w:rsidR="00385E42" w:rsidRDefault="00385E42" w:rsidP="006014D7">
      <w:pPr>
        <w:pStyle w:val="ListParagraph"/>
        <w:numPr>
          <w:ilvl w:val="0"/>
          <w:numId w:val="18"/>
        </w:numPr>
        <w:jc w:val="both"/>
      </w:pPr>
      <w:r w:rsidRPr="00385E42">
        <w:t xml:space="preserve">Effectiveness to ensure </w:t>
      </w:r>
      <w:proofErr w:type="gramStart"/>
      <w:r w:rsidRPr="00385E42">
        <w:t>non-discrimination</w:t>
      </w:r>
      <w:proofErr w:type="gramEnd"/>
    </w:p>
    <w:p w14:paraId="043F25F0" w14:textId="56B64509" w:rsidR="00385E42" w:rsidRPr="009032D3" w:rsidRDefault="00385E42" w:rsidP="006014D7">
      <w:pPr>
        <w:pStyle w:val="ListParagraph"/>
        <w:numPr>
          <w:ilvl w:val="1"/>
          <w:numId w:val="18"/>
        </w:numPr>
        <w:jc w:val="both"/>
      </w:pPr>
      <w:r w:rsidRPr="00D871E3">
        <w:t>Allows to treat all players equally</w:t>
      </w:r>
      <w:r w:rsidR="00B03F07">
        <w:t xml:space="preserve">, if the circumstances are </w:t>
      </w:r>
      <w:proofErr w:type="gramStart"/>
      <w:r w:rsidR="00B03F07">
        <w:t>equal</w:t>
      </w:r>
      <w:proofErr w:type="gramEnd"/>
    </w:p>
    <w:p w14:paraId="3629D71F" w14:textId="5CDE7841" w:rsidR="00385E42" w:rsidRPr="0028378E" w:rsidRDefault="00385E42" w:rsidP="006014D7">
      <w:pPr>
        <w:pStyle w:val="ListParagraph"/>
        <w:numPr>
          <w:ilvl w:val="1"/>
          <w:numId w:val="18"/>
        </w:numPr>
        <w:jc w:val="both"/>
      </w:pPr>
      <w:r w:rsidRPr="0028378E">
        <w:t xml:space="preserve">Removes discriminating </w:t>
      </w:r>
      <w:proofErr w:type="gramStart"/>
      <w:r w:rsidRPr="0028378E">
        <w:t>rule</w:t>
      </w:r>
      <w:proofErr w:type="gramEnd"/>
    </w:p>
    <w:p w14:paraId="5DB8434C" w14:textId="77777777" w:rsidR="00385E42" w:rsidRPr="0028378E" w:rsidRDefault="00385E42" w:rsidP="0028378E">
      <w:pPr>
        <w:pStyle w:val="ListParagraph"/>
        <w:ind w:left="1440"/>
        <w:jc w:val="both"/>
      </w:pPr>
    </w:p>
    <w:p w14:paraId="743635F9" w14:textId="2972BCBC" w:rsidR="00385E42" w:rsidRDefault="00385E42" w:rsidP="006014D7">
      <w:pPr>
        <w:pStyle w:val="ListParagraph"/>
        <w:numPr>
          <w:ilvl w:val="0"/>
          <w:numId w:val="18"/>
        </w:numPr>
        <w:jc w:val="both"/>
      </w:pPr>
      <w:r w:rsidRPr="00385E42">
        <w:t xml:space="preserve">Effectiveness to increase </w:t>
      </w:r>
      <w:proofErr w:type="gramStart"/>
      <w:r w:rsidRPr="00385E42">
        <w:t>competition</w:t>
      </w:r>
      <w:proofErr w:type="gramEnd"/>
    </w:p>
    <w:p w14:paraId="4987C0AC" w14:textId="77777777" w:rsidR="00385E42" w:rsidRDefault="00385E42" w:rsidP="006014D7">
      <w:pPr>
        <w:pStyle w:val="ListParagraph"/>
        <w:numPr>
          <w:ilvl w:val="1"/>
          <w:numId w:val="18"/>
        </w:numPr>
        <w:jc w:val="both"/>
      </w:pPr>
      <w:r>
        <w:t xml:space="preserve">Allows for competition between new borders/bids of market </w:t>
      </w:r>
      <w:proofErr w:type="gramStart"/>
      <w:r>
        <w:t>participants</w:t>
      </w:r>
      <w:proofErr w:type="gramEnd"/>
    </w:p>
    <w:p w14:paraId="31BF3A9C" w14:textId="5281894A" w:rsidR="00385E42" w:rsidRDefault="00385E42" w:rsidP="006014D7">
      <w:pPr>
        <w:pStyle w:val="ListParagraph"/>
        <w:numPr>
          <w:ilvl w:val="1"/>
          <w:numId w:val="18"/>
        </w:numPr>
        <w:jc w:val="both"/>
      </w:pPr>
      <w:r>
        <w:t>Removes entry</w:t>
      </w:r>
      <w:r w:rsidR="0012102A">
        <w:t>/exit</w:t>
      </w:r>
      <w:r>
        <w:t xml:space="preserve"> </w:t>
      </w:r>
      <w:proofErr w:type="gramStart"/>
      <w:r>
        <w:t>barriers</w:t>
      </w:r>
      <w:proofErr w:type="gramEnd"/>
    </w:p>
    <w:p w14:paraId="63DD8CA9" w14:textId="77777777" w:rsidR="00385E42" w:rsidRDefault="00385E42" w:rsidP="0028378E">
      <w:pPr>
        <w:pStyle w:val="ListParagraph"/>
        <w:ind w:left="1440"/>
        <w:jc w:val="both"/>
      </w:pPr>
    </w:p>
    <w:p w14:paraId="708A7BCD" w14:textId="25AC8715" w:rsidR="00385E42" w:rsidRDefault="00385E42" w:rsidP="006014D7">
      <w:pPr>
        <w:pStyle w:val="ListParagraph"/>
        <w:numPr>
          <w:ilvl w:val="0"/>
          <w:numId w:val="18"/>
        </w:numPr>
        <w:jc w:val="both"/>
      </w:pPr>
      <w:r w:rsidRPr="00385E42">
        <w:t xml:space="preserve">Effectiveness to enhance the efficient functioning of the </w:t>
      </w:r>
      <w:proofErr w:type="gramStart"/>
      <w:r w:rsidRPr="00385E42">
        <w:t>market</w:t>
      </w:r>
      <w:proofErr w:type="gramEnd"/>
    </w:p>
    <w:p w14:paraId="3FE33359" w14:textId="77777777" w:rsidR="00385E42" w:rsidRDefault="00385E42" w:rsidP="006014D7">
      <w:pPr>
        <w:pStyle w:val="ListParagraph"/>
        <w:numPr>
          <w:ilvl w:val="1"/>
          <w:numId w:val="18"/>
        </w:numPr>
        <w:jc w:val="both"/>
      </w:pPr>
      <w:r>
        <w:t xml:space="preserve">Improves price </w:t>
      </w:r>
      <w:proofErr w:type="gramStart"/>
      <w:r>
        <w:t>signals</w:t>
      </w:r>
      <w:proofErr w:type="gramEnd"/>
    </w:p>
    <w:p w14:paraId="0A35B84C" w14:textId="77777777" w:rsidR="00385E42" w:rsidRDefault="00385E42" w:rsidP="006014D7">
      <w:pPr>
        <w:pStyle w:val="ListParagraph"/>
        <w:numPr>
          <w:ilvl w:val="1"/>
          <w:numId w:val="18"/>
        </w:numPr>
        <w:jc w:val="both"/>
      </w:pPr>
      <w:r>
        <w:t xml:space="preserve">Improves </w:t>
      </w:r>
      <w:proofErr w:type="gramStart"/>
      <w:r>
        <w:t>welfare</w:t>
      </w:r>
      <w:proofErr w:type="gramEnd"/>
    </w:p>
    <w:p w14:paraId="66C6E693" w14:textId="2A55DFFA" w:rsidR="00385E42" w:rsidRDefault="00385E42" w:rsidP="006014D7">
      <w:pPr>
        <w:pStyle w:val="ListParagraph"/>
        <w:numPr>
          <w:ilvl w:val="1"/>
          <w:numId w:val="18"/>
        </w:numPr>
        <w:jc w:val="both"/>
      </w:pPr>
      <w:r>
        <w:t xml:space="preserve">Improves operational </w:t>
      </w:r>
      <w:proofErr w:type="gramStart"/>
      <w:r w:rsidR="0002419C">
        <w:t>stability</w:t>
      </w:r>
      <w:proofErr w:type="gramEnd"/>
    </w:p>
    <w:p w14:paraId="5E33DA47" w14:textId="77777777" w:rsidR="00385E42" w:rsidRDefault="00385E42" w:rsidP="0028378E">
      <w:pPr>
        <w:pStyle w:val="ListParagraph"/>
        <w:ind w:left="1440"/>
        <w:jc w:val="both"/>
      </w:pPr>
    </w:p>
    <w:p w14:paraId="5A254C2B" w14:textId="77777777" w:rsidR="009032D3" w:rsidRPr="009032D3" w:rsidRDefault="009032D3" w:rsidP="00D871E3">
      <w:pPr>
        <w:jc w:val="both"/>
      </w:pPr>
    </w:p>
    <w:p w14:paraId="14453DB6" w14:textId="4C393E8C" w:rsidR="009446CD" w:rsidRDefault="009446CD" w:rsidP="006014D7">
      <w:pPr>
        <w:pStyle w:val="Heading2"/>
        <w:numPr>
          <w:ilvl w:val="0"/>
          <w:numId w:val="12"/>
        </w:numPr>
        <w:jc w:val="both"/>
      </w:pPr>
      <w:r>
        <w:t>Prioritisation score</w:t>
      </w:r>
    </w:p>
    <w:p w14:paraId="4B216689" w14:textId="4EBCBFE5" w:rsidR="00584AD4" w:rsidRDefault="00584AD4" w:rsidP="00584AD4"/>
    <w:p w14:paraId="3A1A8F4E" w14:textId="2BAD86F3" w:rsidR="00584AD4" w:rsidRPr="00584AD4" w:rsidRDefault="00584AD4" w:rsidP="00D871E3">
      <w:r>
        <w:t xml:space="preserve">The scoring follows a simple </w:t>
      </w:r>
      <w:proofErr w:type="gramStart"/>
      <w:r>
        <w:t>process</w:t>
      </w:r>
      <w:proofErr w:type="gramEnd"/>
    </w:p>
    <w:p w14:paraId="22062241" w14:textId="318E9F91" w:rsidR="00584AD4" w:rsidRPr="00584AD4" w:rsidRDefault="00584AD4" w:rsidP="0072697E">
      <w:pPr>
        <w:pStyle w:val="ListParagraph"/>
        <w:numPr>
          <w:ilvl w:val="0"/>
          <w:numId w:val="15"/>
        </w:numPr>
      </w:pPr>
      <w:r w:rsidRPr="00D871E3">
        <w:t xml:space="preserve">Assign a rating in function of the number of positive or negative identified </w:t>
      </w:r>
      <w:r>
        <w:t>parameters</w:t>
      </w:r>
      <w:r w:rsidRPr="00D871E3">
        <w:t xml:space="preserve"> [-2, +2]</w:t>
      </w:r>
      <w:r w:rsidR="003507A1">
        <w:t xml:space="preserve"> (</w:t>
      </w:r>
      <w:proofErr w:type="gramStart"/>
      <w:r w:rsidR="003507A1">
        <w:t>e.g.</w:t>
      </w:r>
      <w:proofErr w:type="gramEnd"/>
      <w:r w:rsidR="003507A1">
        <w:t xml:space="preserve"> a project </w:t>
      </w:r>
      <w:r w:rsidR="000E4217">
        <w:t xml:space="preserve">will get a +2 rating for the “Effectiveness to enhance market integration criteria because it allows the </w:t>
      </w:r>
      <w:r w:rsidR="009A576B">
        <w:t xml:space="preserve">inclusion of new </w:t>
      </w:r>
      <w:r w:rsidR="008D4A5A">
        <w:t xml:space="preserve">bidding zones/ bidding zone </w:t>
      </w:r>
      <w:r w:rsidR="009A576B">
        <w:t>borders</w:t>
      </w:r>
      <w:r w:rsidR="0072697E">
        <w:t xml:space="preserve">, </w:t>
      </w:r>
      <w:r w:rsidR="000E4217">
        <w:t>allows for harmonisation of rules or processes (either across timeframes/regions)</w:t>
      </w:r>
      <w:r w:rsidR="0072697E">
        <w:t xml:space="preserve"> and is coherent with rules of other timeframes/regions</w:t>
      </w:r>
      <w:r w:rsidR="000E4217">
        <w:t>.)</w:t>
      </w:r>
    </w:p>
    <w:p w14:paraId="605CE17E" w14:textId="77777777" w:rsidR="00584AD4" w:rsidRPr="00584AD4" w:rsidRDefault="00584AD4" w:rsidP="006014D7">
      <w:pPr>
        <w:pStyle w:val="ListParagraph"/>
        <w:numPr>
          <w:ilvl w:val="0"/>
          <w:numId w:val="15"/>
        </w:numPr>
      </w:pPr>
      <w:r w:rsidRPr="00D871E3">
        <w:t>Compute an average score as follows:</w:t>
      </w:r>
    </w:p>
    <w:p w14:paraId="66437C5B" w14:textId="648B5DD7" w:rsidR="00584AD4" w:rsidRPr="00584AD4" w:rsidRDefault="00584AD4" w:rsidP="006014D7">
      <w:pPr>
        <w:pStyle w:val="ListParagraph"/>
        <w:numPr>
          <w:ilvl w:val="1"/>
          <w:numId w:val="15"/>
        </w:numPr>
      </w:pPr>
      <w:r w:rsidRPr="00D871E3">
        <w:t xml:space="preserve">Final score = </w:t>
      </w:r>
      <w:r w:rsidR="007272C9">
        <w:t>2/3</w:t>
      </w:r>
      <w:r w:rsidR="0002419C">
        <w:t>*(</w:t>
      </w:r>
      <w:r w:rsidRPr="00D871E3">
        <w:t>1/</w:t>
      </w:r>
      <w:r w:rsidR="0002419C">
        <w:t>4</w:t>
      </w:r>
      <w:r w:rsidRPr="00D871E3">
        <w:t xml:space="preserve"> * </w:t>
      </w:r>
      <w:proofErr w:type="gramStart"/>
      <w:r w:rsidRPr="00D871E3">
        <w:t xml:space="preserve">( </w:t>
      </w:r>
      <w:r w:rsidRPr="00584AD4">
        <w:rPr>
          <w:lang w:val="el-GR"/>
        </w:rPr>
        <w:t>Σ</w:t>
      </w:r>
      <w:proofErr w:type="gramEnd"/>
      <w:r w:rsidRPr="00D871E3">
        <w:t xml:space="preserve"> Score(Objectives 1-</w:t>
      </w:r>
      <w:r w:rsidR="0002419C">
        <w:t>4</w:t>
      </w:r>
      <w:r w:rsidRPr="00D871E3">
        <w:t>))</w:t>
      </w:r>
      <w:r w:rsidR="009D673F">
        <w:rPr>
          <w:rStyle w:val="FootnoteReference"/>
        </w:rPr>
        <w:footnoteReference w:id="6"/>
      </w:r>
      <w:r w:rsidR="0002419C">
        <w:t>)+</w:t>
      </w:r>
      <w:r w:rsidR="007272C9">
        <w:t>1/3</w:t>
      </w:r>
      <w:r w:rsidR="0002419C">
        <w:t>*Score(Objective 5)</w:t>
      </w:r>
    </w:p>
    <w:p w14:paraId="4606AA3E" w14:textId="77777777" w:rsidR="00584AD4" w:rsidRPr="00584AD4" w:rsidRDefault="00584AD4" w:rsidP="006014D7">
      <w:pPr>
        <w:pStyle w:val="ListParagraph"/>
        <w:numPr>
          <w:ilvl w:val="0"/>
          <w:numId w:val="15"/>
        </w:numPr>
      </w:pPr>
      <w:r w:rsidRPr="00D871E3">
        <w:t>The following rule is then used to qualitatively rate the different project priorities:</w:t>
      </w:r>
    </w:p>
    <w:p w14:paraId="08BDD7AE" w14:textId="77777777" w:rsidR="00584AD4" w:rsidRPr="00584AD4" w:rsidRDefault="00584AD4" w:rsidP="006014D7">
      <w:pPr>
        <w:pStyle w:val="ListParagraph"/>
        <w:numPr>
          <w:ilvl w:val="1"/>
          <w:numId w:val="15"/>
        </w:numPr>
      </w:pPr>
      <w:r w:rsidRPr="00584AD4">
        <w:rPr>
          <w:lang w:val="fr-BE"/>
        </w:rPr>
        <w:t>Final score &gt;=1.5 = Very high</w:t>
      </w:r>
    </w:p>
    <w:p w14:paraId="7607E8CD" w14:textId="77777777" w:rsidR="00584AD4" w:rsidRPr="00584AD4" w:rsidRDefault="00584AD4" w:rsidP="006014D7">
      <w:pPr>
        <w:pStyle w:val="ListParagraph"/>
        <w:numPr>
          <w:ilvl w:val="1"/>
          <w:numId w:val="15"/>
        </w:numPr>
      </w:pPr>
      <w:r w:rsidRPr="00584AD4">
        <w:rPr>
          <w:lang w:val="fr-BE"/>
        </w:rPr>
        <w:t>&gt;=1 = High</w:t>
      </w:r>
    </w:p>
    <w:p w14:paraId="287B0253" w14:textId="77777777" w:rsidR="00584AD4" w:rsidRPr="00584AD4" w:rsidRDefault="00584AD4" w:rsidP="006014D7">
      <w:pPr>
        <w:pStyle w:val="ListParagraph"/>
        <w:numPr>
          <w:ilvl w:val="1"/>
          <w:numId w:val="15"/>
        </w:numPr>
      </w:pPr>
      <w:r w:rsidRPr="00584AD4">
        <w:rPr>
          <w:lang w:val="fr-BE"/>
        </w:rPr>
        <w:t>&gt;=0.5 = Medium</w:t>
      </w:r>
    </w:p>
    <w:p w14:paraId="1214FBC1" w14:textId="77777777" w:rsidR="00584AD4" w:rsidRPr="00584AD4" w:rsidRDefault="00584AD4" w:rsidP="006014D7">
      <w:pPr>
        <w:pStyle w:val="ListParagraph"/>
        <w:numPr>
          <w:ilvl w:val="1"/>
          <w:numId w:val="15"/>
        </w:numPr>
      </w:pPr>
      <w:r w:rsidRPr="00584AD4">
        <w:rPr>
          <w:lang w:val="fr-BE"/>
        </w:rPr>
        <w:t>&gt;=0 = Low</w:t>
      </w:r>
    </w:p>
    <w:p w14:paraId="4A0AC72C" w14:textId="77777777" w:rsidR="00584AD4" w:rsidRPr="00584AD4" w:rsidRDefault="00584AD4" w:rsidP="006014D7">
      <w:pPr>
        <w:pStyle w:val="ListParagraph"/>
        <w:numPr>
          <w:ilvl w:val="1"/>
          <w:numId w:val="15"/>
        </w:numPr>
      </w:pPr>
      <w:r w:rsidRPr="00584AD4">
        <w:rPr>
          <w:lang w:val="fr-BE"/>
        </w:rPr>
        <w:t xml:space="preserve">&lt;0 = </w:t>
      </w:r>
      <w:proofErr w:type="spellStart"/>
      <w:r w:rsidRPr="00584AD4">
        <w:rPr>
          <w:lang w:val="fr-BE"/>
        </w:rPr>
        <w:t>Consider</w:t>
      </w:r>
      <w:proofErr w:type="spellEnd"/>
      <w:r w:rsidRPr="00584AD4">
        <w:rPr>
          <w:lang w:val="fr-BE"/>
        </w:rPr>
        <w:t xml:space="preserve"> </w:t>
      </w:r>
      <w:proofErr w:type="spellStart"/>
      <w:r w:rsidRPr="00584AD4">
        <w:rPr>
          <w:lang w:val="fr-BE"/>
        </w:rPr>
        <w:t>discarding</w:t>
      </w:r>
      <w:proofErr w:type="spellEnd"/>
    </w:p>
    <w:p w14:paraId="027CB929" w14:textId="7E86F53C" w:rsidR="009446CD" w:rsidRPr="00584AD4" w:rsidRDefault="00584AD4" w:rsidP="006014D7">
      <w:pPr>
        <w:pStyle w:val="ListParagraph"/>
        <w:numPr>
          <w:ilvl w:val="1"/>
          <w:numId w:val="15"/>
        </w:numPr>
      </w:pPr>
      <w:r w:rsidRPr="00D871E3">
        <w:t>Projects with a deadline fixed in EU regulation</w:t>
      </w:r>
      <w:r w:rsidR="00953363">
        <w:t xml:space="preserve"> or international treaties</w:t>
      </w:r>
      <w:r w:rsidRPr="00D871E3">
        <w:t xml:space="preserve"> (</w:t>
      </w:r>
      <w:proofErr w:type="gramStart"/>
      <w:r w:rsidRPr="00D871E3">
        <w:t>e.g.</w:t>
      </w:r>
      <w:proofErr w:type="gramEnd"/>
      <w:r w:rsidRPr="00D871E3">
        <w:t xml:space="preserve"> UK-EU MRLVC) </w:t>
      </w:r>
      <w:r w:rsidR="009A576B">
        <w:t xml:space="preserve">are evaluated but </w:t>
      </w:r>
      <w:r w:rsidRPr="00D871E3">
        <w:t xml:space="preserve">get a « Non-relevant » score considering that ACER and NRAs have no competence to challenge their implementation </w:t>
      </w:r>
    </w:p>
    <w:p w14:paraId="71E1F7A4" w14:textId="77777777" w:rsidR="00732BA3" w:rsidRPr="00121837" w:rsidRDefault="00732BA3" w:rsidP="00732BA3">
      <w:pPr>
        <w:jc w:val="both"/>
      </w:pPr>
    </w:p>
    <w:p w14:paraId="04E65514" w14:textId="77777777" w:rsidR="0056079C" w:rsidRDefault="00BB3342" w:rsidP="006014D7">
      <w:pPr>
        <w:pStyle w:val="Heading1"/>
        <w:jc w:val="both"/>
      </w:pPr>
      <w:r>
        <w:t xml:space="preserve">Process 2 – sizing of the delivery pipelines  </w:t>
      </w:r>
    </w:p>
    <w:p w14:paraId="623591D7" w14:textId="5C15AC84" w:rsidR="00584AD4" w:rsidRDefault="00584AD4" w:rsidP="00584AD4"/>
    <w:p w14:paraId="47A428F2" w14:textId="69B2D2D2" w:rsidR="0019513E" w:rsidRDefault="0019513E" w:rsidP="0019513E">
      <w:pPr>
        <w:jc w:val="both"/>
      </w:pPr>
      <w:r>
        <w:t>This process has two main objectives: identify the relevant delivery pipelines for the prioritisation exercise and evaluate their capabilities in terms of deliveries (</w:t>
      </w:r>
      <w:proofErr w:type="gramStart"/>
      <w:r>
        <w:t>i.e.</w:t>
      </w:r>
      <w:proofErr w:type="gramEnd"/>
      <w:r>
        <w:t xml:space="preserve"> how </w:t>
      </w:r>
      <w:r w:rsidR="002F52EA">
        <w:t>many</w:t>
      </w:r>
      <w:r>
        <w:t xml:space="preserve"> projects can be delivered in parallel).</w:t>
      </w:r>
    </w:p>
    <w:p w14:paraId="4AC1268B" w14:textId="77777777" w:rsidR="00181AFE" w:rsidRDefault="00181AFE" w:rsidP="0019513E">
      <w:pPr>
        <w:jc w:val="both"/>
      </w:pPr>
    </w:p>
    <w:p w14:paraId="7FC3A766" w14:textId="77777777" w:rsidR="0019513E" w:rsidRDefault="0019513E" w:rsidP="006014D7">
      <w:pPr>
        <w:pStyle w:val="Heading2"/>
        <w:numPr>
          <w:ilvl w:val="0"/>
          <w:numId w:val="16"/>
        </w:numPr>
        <w:jc w:val="both"/>
      </w:pPr>
      <w:r>
        <w:t>Deliverables</w:t>
      </w:r>
    </w:p>
    <w:p w14:paraId="0FF9EBF1" w14:textId="77777777" w:rsidR="0019513E" w:rsidRDefault="0019513E" w:rsidP="00AC520A">
      <w:pPr>
        <w:jc w:val="both"/>
      </w:pPr>
    </w:p>
    <w:p w14:paraId="1E164411" w14:textId="790BA74C" w:rsidR="0019513E" w:rsidRDefault="0019513E" w:rsidP="00AC520A">
      <w:pPr>
        <w:jc w:val="both"/>
      </w:pPr>
      <w:r>
        <w:t>The outcome of this exercise is to deliver an excel sheet containing the list of regulatory project pipelines to be considered for the prioritisation exercise as well as an estimation of their capabilitie</w:t>
      </w:r>
      <w:r w:rsidR="00EF559C">
        <w:t xml:space="preserve">s (‘Overview of Regulatory Project Pipelines’). </w:t>
      </w:r>
      <w:r w:rsidR="00664632">
        <w:t xml:space="preserve">This list is based </w:t>
      </w:r>
      <w:r w:rsidR="00F4373C">
        <w:t>on</w:t>
      </w:r>
      <w:r w:rsidR="00664632">
        <w:t xml:space="preserve"> the observations from ACER/NRAs of the project pipelines facing congestion.</w:t>
      </w:r>
    </w:p>
    <w:p w14:paraId="4403FB6C" w14:textId="75D6F7C9" w:rsidR="0019513E" w:rsidRPr="00221AE5" w:rsidRDefault="00EF559C" w:rsidP="0019513E">
      <w:pPr>
        <w:jc w:val="both"/>
      </w:pPr>
      <w:r>
        <w:t>The capabilities of each regulatory project pipeline are measured in its ability to deliver a certain number of projects in parallel, as a single integer. There is no unit of this measure.</w:t>
      </w:r>
    </w:p>
    <w:p w14:paraId="68814224" w14:textId="77777777" w:rsidR="00BA0703" w:rsidRPr="00221AE5" w:rsidRDefault="00BA0703" w:rsidP="0019513E">
      <w:pPr>
        <w:jc w:val="both"/>
      </w:pPr>
    </w:p>
    <w:p w14:paraId="15A60FFE" w14:textId="63A0930A" w:rsidR="0019513E" w:rsidRDefault="00181AFE" w:rsidP="006014D7">
      <w:pPr>
        <w:pStyle w:val="Heading2"/>
        <w:numPr>
          <w:ilvl w:val="0"/>
          <w:numId w:val="16"/>
        </w:numPr>
        <w:jc w:val="both"/>
      </w:pPr>
      <w:r>
        <w:t>Detailed t</w:t>
      </w:r>
      <w:r w:rsidR="0019513E">
        <w:t>imeline</w:t>
      </w:r>
    </w:p>
    <w:p w14:paraId="1EC052ED" w14:textId="77777777" w:rsidR="0019513E" w:rsidRDefault="0019513E" w:rsidP="0019513E">
      <w:pPr>
        <w:jc w:val="both"/>
      </w:pPr>
    </w:p>
    <w:p w14:paraId="73D6D083" w14:textId="77777777" w:rsidR="0019513E" w:rsidRDefault="0019513E" w:rsidP="0019513E">
      <w:pPr>
        <w:jc w:val="both"/>
      </w:pPr>
      <w:r>
        <w:t>Three distinct phases can be identified:</w:t>
      </w:r>
    </w:p>
    <w:p w14:paraId="130A1998" w14:textId="2235C21F" w:rsidR="0019513E" w:rsidRDefault="0019513E" w:rsidP="006014D7">
      <w:pPr>
        <w:pStyle w:val="ListParagraph"/>
        <w:numPr>
          <w:ilvl w:val="0"/>
          <w:numId w:val="19"/>
        </w:numPr>
        <w:jc w:val="both"/>
      </w:pPr>
      <w:r>
        <w:t xml:space="preserve">The </w:t>
      </w:r>
      <w:r w:rsidRPr="00384F14">
        <w:rPr>
          <w:b/>
        </w:rPr>
        <w:t>initiation phase</w:t>
      </w:r>
      <w:r>
        <w:t xml:space="preserve"> during which</w:t>
      </w:r>
    </w:p>
    <w:p w14:paraId="05849432" w14:textId="63B278DA" w:rsidR="0019513E" w:rsidRDefault="0019513E" w:rsidP="006014D7">
      <w:pPr>
        <w:pStyle w:val="ListParagraph"/>
        <w:numPr>
          <w:ilvl w:val="1"/>
          <w:numId w:val="19"/>
        </w:numPr>
        <w:jc w:val="both"/>
      </w:pPr>
      <w:r>
        <w:t xml:space="preserve">the </w:t>
      </w:r>
      <w:r w:rsidR="0002419C">
        <w:t xml:space="preserve">SC identifies the regulatory priorities for the years to </w:t>
      </w:r>
      <w:proofErr w:type="gramStart"/>
      <w:r w:rsidR="0002419C">
        <w:t>come</w:t>
      </w:r>
      <w:proofErr w:type="gramEnd"/>
    </w:p>
    <w:p w14:paraId="114E9B13" w14:textId="77777777" w:rsidR="0019513E" w:rsidRDefault="0019513E" w:rsidP="006014D7">
      <w:pPr>
        <w:pStyle w:val="ListParagraph"/>
        <w:numPr>
          <w:ilvl w:val="1"/>
          <w:numId w:val="19"/>
        </w:numPr>
        <w:jc w:val="both"/>
      </w:pPr>
      <w:r>
        <w:t xml:space="preserve">the TF(s) identifies the relevant regulatory project pipelines to be considered as part of the </w:t>
      </w:r>
      <w:proofErr w:type="gramStart"/>
      <w:r>
        <w:t>exercise</w:t>
      </w:r>
      <w:proofErr w:type="gramEnd"/>
    </w:p>
    <w:p w14:paraId="0F9FE63F" w14:textId="594C5AC7" w:rsidR="0019513E" w:rsidRDefault="0019513E" w:rsidP="006014D7">
      <w:pPr>
        <w:pStyle w:val="ListParagraph"/>
        <w:numPr>
          <w:ilvl w:val="1"/>
          <w:numId w:val="19"/>
        </w:numPr>
        <w:jc w:val="both"/>
      </w:pPr>
      <w:r>
        <w:t xml:space="preserve">the TF(s) prepares a first version of the </w:t>
      </w:r>
      <w:r w:rsidR="00EF559C">
        <w:t>Overview of Regulatory Project Pipelines’</w:t>
      </w:r>
      <w:r>
        <w:t xml:space="preserve"> for </w:t>
      </w:r>
      <w:proofErr w:type="gramStart"/>
      <w:r>
        <w:t>consultation</w:t>
      </w:r>
      <w:proofErr w:type="gramEnd"/>
    </w:p>
    <w:p w14:paraId="278F632F" w14:textId="79049D1D" w:rsidR="0019513E" w:rsidRDefault="0019513E" w:rsidP="006014D7">
      <w:pPr>
        <w:pStyle w:val="ListParagraph"/>
        <w:numPr>
          <w:ilvl w:val="0"/>
          <w:numId w:val="19"/>
        </w:numPr>
        <w:jc w:val="both"/>
      </w:pPr>
      <w:r>
        <w:t xml:space="preserve">The </w:t>
      </w:r>
      <w:r w:rsidRPr="00384F14">
        <w:rPr>
          <w:b/>
        </w:rPr>
        <w:t>consultation phase</w:t>
      </w:r>
      <w:r>
        <w:t xml:space="preserve"> during which stakeholders will provide input on the </w:t>
      </w:r>
      <w:r w:rsidR="00EF559C">
        <w:t>deliverable</w:t>
      </w:r>
      <w:r>
        <w:t xml:space="preserve"> proposed by the TF(s) through an ACER public consultation</w:t>
      </w:r>
      <w:r w:rsidR="00AC49D1">
        <w:t xml:space="preserve"> of at least 6 weeks</w:t>
      </w:r>
      <w:r>
        <w:t xml:space="preserve"> and a discussion in the relevant CG and SC meetings (+ ad-hoc meetings if relevant)</w:t>
      </w:r>
    </w:p>
    <w:p w14:paraId="42DCB9E5" w14:textId="52761A79" w:rsidR="0019513E" w:rsidRDefault="0019513E" w:rsidP="006014D7">
      <w:pPr>
        <w:pStyle w:val="ListParagraph"/>
        <w:numPr>
          <w:ilvl w:val="0"/>
          <w:numId w:val="19"/>
        </w:numPr>
        <w:jc w:val="both"/>
      </w:pPr>
      <w:r>
        <w:t xml:space="preserve">The </w:t>
      </w:r>
      <w:r w:rsidRPr="00384F14">
        <w:rPr>
          <w:b/>
        </w:rPr>
        <w:t>finalisation phase</w:t>
      </w:r>
      <w:r>
        <w:t xml:space="preserve"> during which the TF will consolidate the received inputs into an updated </w:t>
      </w:r>
      <w:r w:rsidR="00EF559C">
        <w:t>Overview of Regulatory Project Pipelines</w:t>
      </w:r>
      <w:r>
        <w:t xml:space="preserve">. The </w:t>
      </w:r>
      <w:r w:rsidR="00EF559C">
        <w:t>deliverables</w:t>
      </w:r>
      <w:r>
        <w:t xml:space="preserve"> of the different TF(s) are then merged and submitted to the AEWG for endorsement. The deliverables are presented in the CG and SC.</w:t>
      </w:r>
    </w:p>
    <w:p w14:paraId="25833377" w14:textId="273A0FFC" w:rsidR="00EF559C" w:rsidRDefault="00EF559C" w:rsidP="00EF559C">
      <w:pPr>
        <w:jc w:val="both"/>
      </w:pPr>
      <w:r>
        <w:t>Recommendations from ACER and NRAs to NEMOs and TSOs to further develop/improve the size of the delivery pipelines can accompany the outcome of this exercise. For example, ACER and NRAs could conclude this exercise by issuing a letter, mentioning that as of a certain date, ACER and NRAs will define implementation deadline based on updated assumptions on the size of the delivery pipeline.</w:t>
      </w:r>
    </w:p>
    <w:p w14:paraId="6295BAF6" w14:textId="77777777" w:rsidR="00EF559C" w:rsidRPr="00221AE5" w:rsidRDefault="00EF559C" w:rsidP="0019513E">
      <w:pPr>
        <w:jc w:val="both"/>
      </w:pPr>
    </w:p>
    <w:p w14:paraId="55B762FE" w14:textId="22E33197" w:rsidR="0019513E" w:rsidRDefault="0019513E" w:rsidP="006014D7">
      <w:pPr>
        <w:pStyle w:val="Heading2"/>
        <w:numPr>
          <w:ilvl w:val="0"/>
          <w:numId w:val="16"/>
        </w:numPr>
        <w:jc w:val="both"/>
      </w:pPr>
      <w:r>
        <w:t>Criteri</w:t>
      </w:r>
      <w:r w:rsidR="00CC1633">
        <w:t>on</w:t>
      </w:r>
    </w:p>
    <w:p w14:paraId="775D890E" w14:textId="77777777" w:rsidR="0019513E" w:rsidRDefault="0019513E" w:rsidP="0019513E">
      <w:pPr>
        <w:jc w:val="both"/>
      </w:pPr>
    </w:p>
    <w:p w14:paraId="1A6BBED7" w14:textId="749C9047" w:rsidR="009D673F" w:rsidRDefault="00584AD4" w:rsidP="00D871E3">
      <w:pPr>
        <w:jc w:val="both"/>
      </w:pPr>
      <w:r>
        <w:t>Th</w:t>
      </w:r>
      <w:r w:rsidR="00D00CB0">
        <w:t>e TF’s</w:t>
      </w:r>
      <w:r>
        <w:t xml:space="preserve"> decision is fully based on a </w:t>
      </w:r>
      <w:r w:rsidR="00CC1633">
        <w:t>single criterion</w:t>
      </w:r>
      <w:r>
        <w:t xml:space="preserve">: the ability for regulatory project pipelines to deliver in parallel all the regulatory projects that are identified. In case the answer is positive, the regulatory project pipelines do not need to be considered. In case </w:t>
      </w:r>
      <w:r w:rsidR="00181AFE">
        <w:t>the answer is negative</w:t>
      </w:r>
      <w:r>
        <w:t>, they need to be considered.</w:t>
      </w:r>
    </w:p>
    <w:p w14:paraId="2A90EFB5" w14:textId="77777777" w:rsidR="00181AFE" w:rsidRDefault="00181AFE" w:rsidP="00D871E3">
      <w:pPr>
        <w:jc w:val="both"/>
      </w:pPr>
    </w:p>
    <w:p w14:paraId="31B9DA45" w14:textId="77777777" w:rsidR="00362A61" w:rsidRDefault="00BB3342" w:rsidP="006014D7">
      <w:pPr>
        <w:pStyle w:val="Heading1"/>
      </w:pPr>
      <w:r>
        <w:t xml:space="preserve">process 3 - </w:t>
      </w:r>
      <w:r w:rsidR="00121837">
        <w:t>Implementation deadline definition</w:t>
      </w:r>
    </w:p>
    <w:p w14:paraId="41F74B3A" w14:textId="77777777" w:rsidR="00121837" w:rsidRDefault="00121837" w:rsidP="00A11510">
      <w:pPr>
        <w:jc w:val="both"/>
        <w:rPr>
          <w:rFonts w:asciiTheme="majorHAnsi" w:eastAsiaTheme="majorEastAsia" w:hAnsiTheme="majorHAnsi" w:cstheme="majorBidi"/>
          <w:b/>
          <w:color w:val="000000" w:themeColor="text1"/>
          <w:szCs w:val="26"/>
        </w:rPr>
      </w:pPr>
    </w:p>
    <w:p w14:paraId="25A68E0F" w14:textId="3557D92C" w:rsidR="00EF559C" w:rsidRDefault="00EF559C" w:rsidP="00A11510">
      <w:pPr>
        <w:jc w:val="both"/>
        <w:rPr>
          <w:rFonts w:asciiTheme="majorHAnsi" w:eastAsiaTheme="majorEastAsia" w:hAnsiTheme="majorHAnsi" w:cstheme="majorBidi"/>
          <w:color w:val="000000" w:themeColor="text1"/>
          <w:szCs w:val="26"/>
        </w:rPr>
      </w:pPr>
      <w:r>
        <w:rPr>
          <w:rFonts w:asciiTheme="majorHAnsi" w:eastAsiaTheme="majorEastAsia" w:hAnsiTheme="majorHAnsi" w:cstheme="majorBidi"/>
          <w:color w:val="000000" w:themeColor="text1"/>
          <w:szCs w:val="26"/>
        </w:rPr>
        <w:t xml:space="preserve">This process defines how the input of </w:t>
      </w:r>
      <w:r w:rsidR="00C7601B">
        <w:rPr>
          <w:rFonts w:asciiTheme="majorHAnsi" w:eastAsiaTheme="majorEastAsia" w:hAnsiTheme="majorHAnsi" w:cstheme="majorBidi"/>
          <w:color w:val="000000" w:themeColor="text1"/>
          <w:szCs w:val="26"/>
        </w:rPr>
        <w:t xml:space="preserve">Processes 1 and 2 feed into the existing process of defining a legal deadline as part of the decision-making processes for adopting </w:t>
      </w:r>
      <w:r w:rsidR="00571F62">
        <w:rPr>
          <w:rFonts w:asciiTheme="majorHAnsi" w:eastAsiaTheme="majorEastAsia" w:hAnsiTheme="majorHAnsi" w:cstheme="majorBidi"/>
          <w:color w:val="000000" w:themeColor="text1"/>
          <w:szCs w:val="26"/>
        </w:rPr>
        <w:t>TCM</w:t>
      </w:r>
      <w:r w:rsidR="0028378E">
        <w:rPr>
          <w:rFonts w:asciiTheme="majorHAnsi" w:eastAsiaTheme="majorEastAsia" w:hAnsiTheme="majorHAnsi" w:cstheme="majorBidi"/>
          <w:color w:val="000000" w:themeColor="text1"/>
          <w:szCs w:val="26"/>
        </w:rPr>
        <w:t>s</w:t>
      </w:r>
      <w:r w:rsidR="00C7601B">
        <w:rPr>
          <w:rFonts w:asciiTheme="majorHAnsi" w:eastAsiaTheme="majorEastAsia" w:hAnsiTheme="majorHAnsi" w:cstheme="majorBidi"/>
          <w:color w:val="000000" w:themeColor="text1"/>
          <w:szCs w:val="26"/>
        </w:rPr>
        <w:t>.</w:t>
      </w:r>
    </w:p>
    <w:p w14:paraId="470DD8D2" w14:textId="5042E020" w:rsidR="00121837" w:rsidRDefault="00BB3342" w:rsidP="00A11510">
      <w:pPr>
        <w:jc w:val="both"/>
        <w:rPr>
          <w:rFonts w:asciiTheme="majorHAnsi" w:eastAsiaTheme="majorEastAsia" w:hAnsiTheme="majorHAnsi" w:cstheme="majorBidi"/>
          <w:color w:val="000000" w:themeColor="text1"/>
          <w:szCs w:val="26"/>
        </w:rPr>
      </w:pPr>
      <w:r>
        <w:rPr>
          <w:rFonts w:asciiTheme="majorHAnsi" w:eastAsiaTheme="majorEastAsia" w:hAnsiTheme="majorHAnsi" w:cstheme="majorBidi"/>
          <w:color w:val="000000" w:themeColor="text1"/>
          <w:szCs w:val="26"/>
        </w:rPr>
        <w:t>To define the implementation deadline of a</w:t>
      </w:r>
      <w:r w:rsidR="00A46DB0">
        <w:rPr>
          <w:rFonts w:asciiTheme="majorHAnsi" w:eastAsiaTheme="majorEastAsia" w:hAnsiTheme="majorHAnsi" w:cstheme="majorBidi"/>
          <w:color w:val="000000" w:themeColor="text1"/>
          <w:szCs w:val="26"/>
        </w:rPr>
        <w:t xml:space="preserve"> </w:t>
      </w:r>
      <w:r w:rsidR="00CC1633">
        <w:rPr>
          <w:rFonts w:asciiTheme="majorHAnsi" w:eastAsiaTheme="majorEastAsia" w:hAnsiTheme="majorHAnsi" w:cstheme="majorBidi"/>
          <w:color w:val="000000" w:themeColor="text1"/>
          <w:szCs w:val="26"/>
        </w:rPr>
        <w:t xml:space="preserve">regulatory </w:t>
      </w:r>
      <w:r>
        <w:rPr>
          <w:rFonts w:asciiTheme="majorHAnsi" w:eastAsiaTheme="majorEastAsia" w:hAnsiTheme="majorHAnsi" w:cstheme="majorBidi"/>
          <w:color w:val="000000" w:themeColor="text1"/>
          <w:szCs w:val="26"/>
        </w:rPr>
        <w:t xml:space="preserve">project, several criteria need to be considered: </w:t>
      </w:r>
    </w:p>
    <w:p w14:paraId="7943C794" w14:textId="325740EC" w:rsidR="00121837" w:rsidRDefault="00BB3342" w:rsidP="006014D7">
      <w:pPr>
        <w:pStyle w:val="ListParagraph"/>
        <w:numPr>
          <w:ilvl w:val="0"/>
          <w:numId w:val="9"/>
        </w:numPr>
        <w:jc w:val="both"/>
      </w:pPr>
      <w:r>
        <w:t xml:space="preserve">Estimated </w:t>
      </w:r>
      <w:r w:rsidR="00FD2978">
        <w:t xml:space="preserve">duration of </w:t>
      </w:r>
      <w:r w:rsidR="00B54731">
        <w:t xml:space="preserve">design and </w:t>
      </w:r>
      <w:r>
        <w:t>implementation</w:t>
      </w:r>
      <w:r w:rsidR="00AA6BAD">
        <w:t xml:space="preserve"> </w:t>
      </w:r>
      <w:r w:rsidR="00E95866">
        <w:t>of a regulatory project</w:t>
      </w:r>
      <w:r>
        <w:t xml:space="preserve"> </w:t>
      </w:r>
      <w:r w:rsidR="00571F62">
        <w:t xml:space="preserve">(see section </w:t>
      </w:r>
      <w:r w:rsidR="0028378E">
        <w:fldChar w:fldCharType="begin"/>
      </w:r>
      <w:r w:rsidR="0028378E">
        <w:instrText xml:space="preserve"> REF _Ref136440342 \r \h </w:instrText>
      </w:r>
      <w:r w:rsidR="0028378E">
        <w:fldChar w:fldCharType="separate"/>
      </w:r>
      <w:r w:rsidR="0028378E">
        <w:t>8.1</w:t>
      </w:r>
      <w:r w:rsidR="0028378E">
        <w:fldChar w:fldCharType="end"/>
      </w:r>
      <w:r w:rsidR="0028378E">
        <w:t xml:space="preserve"> </w:t>
      </w:r>
      <w:r w:rsidR="00571F62">
        <w:t>below)</w:t>
      </w:r>
    </w:p>
    <w:p w14:paraId="384C6A0F" w14:textId="77777777" w:rsidR="00121837" w:rsidRDefault="00BB3342" w:rsidP="006014D7">
      <w:pPr>
        <w:pStyle w:val="ListParagraph"/>
        <w:numPr>
          <w:ilvl w:val="0"/>
          <w:numId w:val="9"/>
        </w:numPr>
        <w:jc w:val="both"/>
      </w:pPr>
      <w:r>
        <w:t>S</w:t>
      </w:r>
      <w:r w:rsidR="0097448C">
        <w:t>tatus</w:t>
      </w:r>
      <w:r>
        <w:t xml:space="preserve"> of the impacted delivery pipelines</w:t>
      </w:r>
    </w:p>
    <w:p w14:paraId="668D8D80" w14:textId="2E1AA776" w:rsidR="00121837" w:rsidRDefault="00BB3342" w:rsidP="006014D7">
      <w:pPr>
        <w:pStyle w:val="ListParagraph"/>
        <w:numPr>
          <w:ilvl w:val="0"/>
          <w:numId w:val="9"/>
        </w:numPr>
        <w:jc w:val="both"/>
      </w:pPr>
      <w:r>
        <w:t xml:space="preserve">Position in the </w:t>
      </w:r>
      <w:r w:rsidR="002319F6">
        <w:t>Regulatory Projects Portfolio</w:t>
      </w:r>
    </w:p>
    <w:p w14:paraId="5F7A4F59" w14:textId="77777777" w:rsidR="00B54731" w:rsidRDefault="00BB3342" w:rsidP="00A11510">
      <w:pPr>
        <w:jc w:val="both"/>
      </w:pPr>
      <w:r>
        <w:t>This process is to be conducted every time the legal deadline of a</w:t>
      </w:r>
      <w:r w:rsidR="00A46DB0">
        <w:t>n implementation</w:t>
      </w:r>
      <w:r>
        <w:t xml:space="preserve"> project is to be defined. </w:t>
      </w:r>
    </w:p>
    <w:p w14:paraId="0F676EBD" w14:textId="7802FFC2" w:rsidR="007847F6" w:rsidRDefault="00BB3342" w:rsidP="00A11510">
      <w:pPr>
        <w:jc w:val="both"/>
      </w:pPr>
      <w:proofErr w:type="gramStart"/>
      <w:r>
        <w:t>Similarly</w:t>
      </w:r>
      <w:proofErr w:type="gramEnd"/>
      <w:r>
        <w:t xml:space="preserve"> to the project prioritisation process, ACER and NRAs decide on the final outcome of the exercise</w:t>
      </w:r>
      <w:r w:rsidR="00510FD5">
        <w:t>. A public consultation is organised, allowing stakeholders to provide their views</w:t>
      </w:r>
      <w:r>
        <w:t xml:space="preserve">, </w:t>
      </w:r>
      <w:r w:rsidR="00EF559C">
        <w:t xml:space="preserve">this time </w:t>
      </w:r>
      <w:r>
        <w:t>through the usual decision-making processes.</w:t>
      </w:r>
    </w:p>
    <w:p w14:paraId="2B8611F5" w14:textId="77777777" w:rsidR="00181AFE" w:rsidRDefault="00181AFE" w:rsidP="00A11510">
      <w:pPr>
        <w:jc w:val="both"/>
      </w:pPr>
    </w:p>
    <w:p w14:paraId="7FAD9B42" w14:textId="77777777" w:rsidR="0012102A" w:rsidRDefault="0012102A" w:rsidP="006014D7">
      <w:pPr>
        <w:pStyle w:val="Heading2"/>
        <w:numPr>
          <w:ilvl w:val="0"/>
          <w:numId w:val="20"/>
        </w:numPr>
        <w:jc w:val="both"/>
      </w:pPr>
      <w:bookmarkStart w:id="1" w:name="_Ref136440342"/>
      <w:r>
        <w:t>Estimation</w:t>
      </w:r>
      <w:bookmarkEnd w:id="1"/>
    </w:p>
    <w:p w14:paraId="422A1FB3" w14:textId="77777777" w:rsidR="0012102A" w:rsidRDefault="0012102A" w:rsidP="0012102A">
      <w:pPr>
        <w:jc w:val="both"/>
      </w:pPr>
    </w:p>
    <w:p w14:paraId="650EDF15" w14:textId="06F5FA96" w:rsidR="0012102A" w:rsidRDefault="00571F62" w:rsidP="0012102A">
      <w:pPr>
        <w:jc w:val="both"/>
      </w:pPr>
      <w:r>
        <w:t>Following a submission of the terms and conditions or methodologies</w:t>
      </w:r>
      <w:r w:rsidR="0012102A">
        <w:t xml:space="preserve">, </w:t>
      </w:r>
      <w:r>
        <w:t>ACER/NRAs (depending on the geographical scope of the TCM</w:t>
      </w:r>
      <w:r w:rsidR="0012102A">
        <w:t xml:space="preserve"> will proceed to the estimation of the duration of the implementation of implementation projects. To perform this exercise, </w:t>
      </w:r>
      <w:r>
        <w:t xml:space="preserve">ACER/NRAs </w:t>
      </w:r>
      <w:r w:rsidR="0012102A">
        <w:t xml:space="preserve">will proceed to a benchmarking of similar implementation projects. This benchmarking can be done either based on the implementation period of similar historical implementation projects or on projects of </w:t>
      </w:r>
      <w:proofErr w:type="gramStart"/>
      <w:r w:rsidR="0012102A">
        <w:t>other</w:t>
      </w:r>
      <w:proofErr w:type="gramEnd"/>
      <w:r w:rsidR="0012102A">
        <w:t xml:space="preserve"> industries/sector. This exercise can be supported by an external consultant. </w:t>
      </w:r>
    </w:p>
    <w:p w14:paraId="48E34B37" w14:textId="77777777" w:rsidR="0012102A" w:rsidRPr="00121837" w:rsidRDefault="0012102A" w:rsidP="00A11510">
      <w:pPr>
        <w:jc w:val="both"/>
      </w:pPr>
    </w:p>
    <w:sectPr w:rsidR="0012102A" w:rsidRPr="00121837" w:rsidSect="00AC520A">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AA0D7" w14:textId="77777777" w:rsidR="00AF586E" w:rsidRDefault="00AF586E">
      <w:pPr>
        <w:spacing w:after="0" w:line="240" w:lineRule="auto"/>
      </w:pPr>
      <w:r>
        <w:separator/>
      </w:r>
    </w:p>
  </w:endnote>
  <w:endnote w:type="continuationSeparator" w:id="0">
    <w:p w14:paraId="7B5B38A0" w14:textId="77777777" w:rsidR="00AF586E" w:rsidRDefault="00AF586E">
      <w:pPr>
        <w:spacing w:after="0" w:line="240" w:lineRule="auto"/>
      </w:pPr>
      <w:r>
        <w:continuationSeparator/>
      </w:r>
    </w:p>
  </w:endnote>
  <w:endnote w:type="continuationNotice" w:id="1">
    <w:p w14:paraId="6DFA6516" w14:textId="77777777" w:rsidR="00AF586E" w:rsidRDefault="00AF58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243414"/>
      <w:docPartObj>
        <w:docPartGallery w:val="Page Numbers (Bottom of Page)"/>
        <w:docPartUnique/>
      </w:docPartObj>
    </w:sdtPr>
    <w:sdtEndPr>
      <w:rPr>
        <w:noProof/>
      </w:rPr>
    </w:sdtEndPr>
    <w:sdtContent>
      <w:p w14:paraId="0852E22E" w14:textId="71499AAD" w:rsidR="000F6E1D" w:rsidRDefault="00BB3342" w:rsidP="00AC520A">
        <w:pPr>
          <w:pStyle w:val="Footer"/>
        </w:pPr>
        <w:r>
          <w:fldChar w:fldCharType="begin"/>
        </w:r>
        <w:r>
          <w:instrText xml:space="preserve"> PAGE   \* MERGEFORMAT </w:instrText>
        </w:r>
        <w:r>
          <w:fldChar w:fldCharType="separate"/>
        </w:r>
        <w:r>
          <w:rPr>
            <w:noProof/>
          </w:rPr>
          <w:t>1</w:t>
        </w:r>
        <w:r>
          <w:rPr>
            <w:noProof/>
          </w:rPr>
          <w:fldChar w:fldCharType="end"/>
        </w:r>
        <w:r w:rsidR="00C97BDD">
          <w:rPr>
            <w:noProof/>
          </w:rPr>
          <w:t>/</w:t>
        </w:r>
        <w:r w:rsidR="00C97BDD">
          <w:rPr>
            <w:noProof/>
          </w:rPr>
          <w:fldChar w:fldCharType="begin"/>
        </w:r>
        <w:r w:rsidR="00C97BDD">
          <w:rPr>
            <w:noProof/>
          </w:rPr>
          <w:instrText xml:space="preserve"> NUMPAGES   \* MERGEFORMAT </w:instrText>
        </w:r>
        <w:r w:rsidR="00C97BDD">
          <w:rPr>
            <w:noProof/>
          </w:rPr>
          <w:fldChar w:fldCharType="separate"/>
        </w:r>
        <w:r w:rsidR="00C97BDD">
          <w:rPr>
            <w:noProof/>
          </w:rPr>
          <w:t>10</w:t>
        </w:r>
        <w:r w:rsidR="00C97BDD">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DA0DC" w14:textId="77777777" w:rsidR="00AF586E" w:rsidRDefault="00AF586E">
      <w:pPr>
        <w:spacing w:after="0" w:line="240" w:lineRule="auto"/>
      </w:pPr>
      <w:r>
        <w:separator/>
      </w:r>
    </w:p>
  </w:footnote>
  <w:footnote w:type="continuationSeparator" w:id="0">
    <w:p w14:paraId="4C43CF70" w14:textId="77777777" w:rsidR="00AF586E" w:rsidRDefault="00AF586E">
      <w:pPr>
        <w:spacing w:after="0" w:line="240" w:lineRule="auto"/>
      </w:pPr>
      <w:r>
        <w:continuationSeparator/>
      </w:r>
    </w:p>
  </w:footnote>
  <w:footnote w:type="continuationNotice" w:id="1">
    <w:p w14:paraId="3C3556E6" w14:textId="77777777" w:rsidR="00AF586E" w:rsidRDefault="00AF586E">
      <w:pPr>
        <w:spacing w:after="0" w:line="240" w:lineRule="auto"/>
      </w:pPr>
    </w:p>
  </w:footnote>
  <w:footnote w:id="2">
    <w:p w14:paraId="503CF563" w14:textId="77777777" w:rsidR="00385E42" w:rsidRDefault="00385E42" w:rsidP="00385E42">
      <w:pPr>
        <w:pStyle w:val="FootnoteText"/>
      </w:pPr>
      <w:r>
        <w:rPr>
          <w:rStyle w:val="FootnoteReference"/>
        </w:rPr>
        <w:footnoteRef/>
      </w:r>
      <w:r>
        <w:t xml:space="preserve"> In the text, references to ‘pipeline’, ‘project pipeline’ are to be understood as references to project delivery pipelines.</w:t>
      </w:r>
    </w:p>
  </w:footnote>
  <w:footnote w:id="3">
    <w:p w14:paraId="4D9EA8B6" w14:textId="77777777" w:rsidR="00385E42" w:rsidRDefault="00385E42" w:rsidP="00385E42">
      <w:pPr>
        <w:pStyle w:val="FootnoteText"/>
      </w:pPr>
      <w:r>
        <w:rPr>
          <w:rStyle w:val="FootnoteReference"/>
        </w:rPr>
        <w:footnoteRef/>
      </w:r>
      <w:r>
        <w:t xml:space="preserve"> For example, a regional capacity calculation implementation can be considered as independent from the pan-European capacity allocation.</w:t>
      </w:r>
    </w:p>
  </w:footnote>
  <w:footnote w:id="4">
    <w:p w14:paraId="10548982" w14:textId="4A0CB0AD" w:rsidR="009D673F" w:rsidRDefault="009D673F">
      <w:pPr>
        <w:pStyle w:val="FootnoteText"/>
      </w:pPr>
      <w:r>
        <w:rPr>
          <w:rStyle w:val="FootnoteReference"/>
        </w:rPr>
        <w:footnoteRef/>
      </w:r>
      <w:r>
        <w:t xml:space="preserve"> In the text, </w:t>
      </w:r>
      <w:r w:rsidR="00BF566C">
        <w:t xml:space="preserve">all </w:t>
      </w:r>
      <w:r>
        <w:t xml:space="preserve">references to ‘projects’ are to be understood as references to </w:t>
      </w:r>
      <w:r w:rsidR="00385E42">
        <w:t xml:space="preserve">implementation </w:t>
      </w:r>
      <w:r>
        <w:t>projects.</w:t>
      </w:r>
    </w:p>
  </w:footnote>
  <w:footnote w:id="5">
    <w:p w14:paraId="4D4F4CA6" w14:textId="43C8E25D" w:rsidR="00385E42" w:rsidRDefault="00385E42">
      <w:pPr>
        <w:pStyle w:val="FootnoteText"/>
      </w:pPr>
      <w:r>
        <w:rPr>
          <w:rStyle w:val="FootnoteReference"/>
        </w:rPr>
        <w:footnoteRef/>
      </w:r>
      <w:r>
        <w:t xml:space="preserve"> </w:t>
      </w:r>
      <w:r w:rsidRPr="00D871E3">
        <w:t>such as request for changes described in the Algorithm Methodology Article 14(1)(a))</w:t>
      </w:r>
    </w:p>
  </w:footnote>
  <w:footnote w:id="6">
    <w:p w14:paraId="58FBC205" w14:textId="3D693BD4" w:rsidR="009D673F" w:rsidRDefault="009D673F">
      <w:pPr>
        <w:pStyle w:val="FootnoteText"/>
      </w:pPr>
      <w:r>
        <w:rPr>
          <w:rStyle w:val="FootnoteReference"/>
        </w:rPr>
        <w:footnoteRef/>
      </w:r>
      <w:r>
        <w:t xml:space="preserve"> Following lessons learned from a project prioritisation process, a deviation from a weighted average computation is possible.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2DA"/>
    <w:multiLevelType w:val="multilevel"/>
    <w:tmpl w:val="50F2D6AA"/>
    <w:lvl w:ilvl="0">
      <w:start w:val="1"/>
      <w:numFmt w:val="decimal"/>
      <w:lvlText w:val="4.%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9BE7AF6"/>
    <w:multiLevelType w:val="multilevel"/>
    <w:tmpl w:val="4372BDA6"/>
    <w:lvl w:ilvl="0">
      <w:start w:val="1"/>
      <w:numFmt w:val="decimal"/>
      <w:lvlText w:val="6.%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10BC1E03"/>
    <w:multiLevelType w:val="multilevel"/>
    <w:tmpl w:val="8130887C"/>
    <w:styleLink w:val="Style1"/>
    <w:lvl w:ilvl="0">
      <w:start w:val="1"/>
      <w:numFmt w:val="none"/>
      <w:lvlText w:val="5.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11064136"/>
    <w:multiLevelType w:val="hybridMultilevel"/>
    <w:tmpl w:val="52562CB4"/>
    <w:lvl w:ilvl="0" w:tplc="BCBCF700">
      <w:start w:val="1"/>
      <w:numFmt w:val="decimal"/>
      <w:lvlText w:val="%1."/>
      <w:lvlJc w:val="left"/>
      <w:pPr>
        <w:ind w:left="720" w:hanging="360"/>
      </w:pPr>
      <w:rPr>
        <w:rFonts w:hint="default"/>
      </w:rPr>
    </w:lvl>
    <w:lvl w:ilvl="1" w:tplc="7A1E4046" w:tentative="1">
      <w:start w:val="1"/>
      <w:numFmt w:val="lowerLetter"/>
      <w:lvlText w:val="%2."/>
      <w:lvlJc w:val="left"/>
      <w:pPr>
        <w:ind w:left="1440" w:hanging="360"/>
      </w:pPr>
    </w:lvl>
    <w:lvl w:ilvl="2" w:tplc="4F18BDC2" w:tentative="1">
      <w:start w:val="1"/>
      <w:numFmt w:val="lowerRoman"/>
      <w:lvlText w:val="%3."/>
      <w:lvlJc w:val="right"/>
      <w:pPr>
        <w:ind w:left="2160" w:hanging="180"/>
      </w:pPr>
    </w:lvl>
    <w:lvl w:ilvl="3" w:tplc="75DCFFA6" w:tentative="1">
      <w:start w:val="1"/>
      <w:numFmt w:val="decimal"/>
      <w:lvlText w:val="%4."/>
      <w:lvlJc w:val="left"/>
      <w:pPr>
        <w:ind w:left="2880" w:hanging="360"/>
      </w:pPr>
    </w:lvl>
    <w:lvl w:ilvl="4" w:tplc="0F7090EC" w:tentative="1">
      <w:start w:val="1"/>
      <w:numFmt w:val="lowerLetter"/>
      <w:lvlText w:val="%5."/>
      <w:lvlJc w:val="left"/>
      <w:pPr>
        <w:ind w:left="3600" w:hanging="360"/>
      </w:pPr>
    </w:lvl>
    <w:lvl w:ilvl="5" w:tplc="272AD33E" w:tentative="1">
      <w:start w:val="1"/>
      <w:numFmt w:val="lowerRoman"/>
      <w:lvlText w:val="%6."/>
      <w:lvlJc w:val="right"/>
      <w:pPr>
        <w:ind w:left="4320" w:hanging="180"/>
      </w:pPr>
    </w:lvl>
    <w:lvl w:ilvl="6" w:tplc="86669C8E" w:tentative="1">
      <w:start w:val="1"/>
      <w:numFmt w:val="decimal"/>
      <w:lvlText w:val="%7."/>
      <w:lvlJc w:val="left"/>
      <w:pPr>
        <w:ind w:left="5040" w:hanging="360"/>
      </w:pPr>
    </w:lvl>
    <w:lvl w:ilvl="7" w:tplc="713C9062" w:tentative="1">
      <w:start w:val="1"/>
      <w:numFmt w:val="lowerLetter"/>
      <w:lvlText w:val="%8."/>
      <w:lvlJc w:val="left"/>
      <w:pPr>
        <w:ind w:left="5760" w:hanging="360"/>
      </w:pPr>
    </w:lvl>
    <w:lvl w:ilvl="8" w:tplc="71E6F2D4" w:tentative="1">
      <w:start w:val="1"/>
      <w:numFmt w:val="lowerRoman"/>
      <w:lvlText w:val="%9."/>
      <w:lvlJc w:val="right"/>
      <w:pPr>
        <w:ind w:left="6480" w:hanging="180"/>
      </w:pPr>
    </w:lvl>
  </w:abstractNum>
  <w:abstractNum w:abstractNumId="4" w15:restartNumberingAfterBreak="0">
    <w:nsid w:val="11436D60"/>
    <w:multiLevelType w:val="hybridMultilevel"/>
    <w:tmpl w:val="68365722"/>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2B27996"/>
    <w:multiLevelType w:val="multilevel"/>
    <w:tmpl w:val="5EAECF7C"/>
    <w:lvl w:ilvl="0">
      <w:start w:val="1"/>
      <w:numFmt w:val="decimal"/>
      <w:lvlText w:val="3.%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15977082"/>
    <w:multiLevelType w:val="multilevel"/>
    <w:tmpl w:val="F6FE119E"/>
    <w:lvl w:ilvl="0">
      <w:start w:val="5"/>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7B232DB"/>
    <w:multiLevelType w:val="hybridMultilevel"/>
    <w:tmpl w:val="7D1E4492"/>
    <w:lvl w:ilvl="0" w:tplc="20C21E1E">
      <w:start w:val="1"/>
      <w:numFmt w:val="decimal"/>
      <w:lvlText w:val="%1."/>
      <w:lvlJc w:val="left"/>
      <w:pPr>
        <w:tabs>
          <w:tab w:val="num" w:pos="720"/>
        </w:tabs>
        <w:ind w:left="720" w:hanging="360"/>
      </w:pPr>
    </w:lvl>
    <w:lvl w:ilvl="1" w:tplc="EF70425C">
      <w:start w:val="1"/>
      <w:numFmt w:val="decimal"/>
      <w:lvlText w:val="%2."/>
      <w:lvlJc w:val="left"/>
      <w:pPr>
        <w:tabs>
          <w:tab w:val="num" w:pos="1440"/>
        </w:tabs>
        <w:ind w:left="1440" w:hanging="360"/>
      </w:pPr>
    </w:lvl>
    <w:lvl w:ilvl="2" w:tplc="519ADE92" w:tentative="1">
      <w:start w:val="1"/>
      <w:numFmt w:val="decimal"/>
      <w:lvlText w:val="%3."/>
      <w:lvlJc w:val="left"/>
      <w:pPr>
        <w:tabs>
          <w:tab w:val="num" w:pos="2160"/>
        </w:tabs>
        <w:ind w:left="2160" w:hanging="360"/>
      </w:pPr>
    </w:lvl>
    <w:lvl w:ilvl="3" w:tplc="11B83164" w:tentative="1">
      <w:start w:val="1"/>
      <w:numFmt w:val="decimal"/>
      <w:lvlText w:val="%4."/>
      <w:lvlJc w:val="left"/>
      <w:pPr>
        <w:tabs>
          <w:tab w:val="num" w:pos="2880"/>
        </w:tabs>
        <w:ind w:left="2880" w:hanging="360"/>
      </w:pPr>
    </w:lvl>
    <w:lvl w:ilvl="4" w:tplc="31562AC2" w:tentative="1">
      <w:start w:val="1"/>
      <w:numFmt w:val="decimal"/>
      <w:lvlText w:val="%5."/>
      <w:lvlJc w:val="left"/>
      <w:pPr>
        <w:tabs>
          <w:tab w:val="num" w:pos="3600"/>
        </w:tabs>
        <w:ind w:left="3600" w:hanging="360"/>
      </w:pPr>
    </w:lvl>
    <w:lvl w:ilvl="5" w:tplc="B40E1DBA" w:tentative="1">
      <w:start w:val="1"/>
      <w:numFmt w:val="decimal"/>
      <w:lvlText w:val="%6."/>
      <w:lvlJc w:val="left"/>
      <w:pPr>
        <w:tabs>
          <w:tab w:val="num" w:pos="4320"/>
        </w:tabs>
        <w:ind w:left="4320" w:hanging="360"/>
      </w:pPr>
    </w:lvl>
    <w:lvl w:ilvl="6" w:tplc="DAAA243A" w:tentative="1">
      <w:start w:val="1"/>
      <w:numFmt w:val="decimal"/>
      <w:lvlText w:val="%7."/>
      <w:lvlJc w:val="left"/>
      <w:pPr>
        <w:tabs>
          <w:tab w:val="num" w:pos="5040"/>
        </w:tabs>
        <w:ind w:left="5040" w:hanging="360"/>
      </w:pPr>
    </w:lvl>
    <w:lvl w:ilvl="7" w:tplc="3A9A8A88" w:tentative="1">
      <w:start w:val="1"/>
      <w:numFmt w:val="decimal"/>
      <w:lvlText w:val="%8."/>
      <w:lvlJc w:val="left"/>
      <w:pPr>
        <w:tabs>
          <w:tab w:val="num" w:pos="5760"/>
        </w:tabs>
        <w:ind w:left="5760" w:hanging="360"/>
      </w:pPr>
    </w:lvl>
    <w:lvl w:ilvl="8" w:tplc="299A459C" w:tentative="1">
      <w:start w:val="1"/>
      <w:numFmt w:val="decimal"/>
      <w:lvlText w:val="%9."/>
      <w:lvlJc w:val="left"/>
      <w:pPr>
        <w:tabs>
          <w:tab w:val="num" w:pos="6480"/>
        </w:tabs>
        <w:ind w:left="6480" w:hanging="360"/>
      </w:pPr>
    </w:lvl>
  </w:abstractNum>
  <w:abstractNum w:abstractNumId="8" w15:restartNumberingAfterBreak="0">
    <w:nsid w:val="1820336F"/>
    <w:multiLevelType w:val="hybridMultilevel"/>
    <w:tmpl w:val="B41E5826"/>
    <w:lvl w:ilvl="0" w:tplc="55F62EEC">
      <w:start w:val="1"/>
      <w:numFmt w:val="bullet"/>
      <w:lvlText w:val=""/>
      <w:lvlJc w:val="left"/>
      <w:pPr>
        <w:ind w:left="720" w:hanging="360"/>
      </w:pPr>
      <w:rPr>
        <w:rFonts w:ascii="Symbol" w:hAnsi="Symbol" w:hint="default"/>
      </w:rPr>
    </w:lvl>
    <w:lvl w:ilvl="1" w:tplc="6D6654D4" w:tentative="1">
      <w:start w:val="1"/>
      <w:numFmt w:val="bullet"/>
      <w:lvlText w:val="o"/>
      <w:lvlJc w:val="left"/>
      <w:pPr>
        <w:ind w:left="1440" w:hanging="360"/>
      </w:pPr>
      <w:rPr>
        <w:rFonts w:ascii="Courier New" w:hAnsi="Courier New" w:cs="Courier New" w:hint="default"/>
      </w:rPr>
    </w:lvl>
    <w:lvl w:ilvl="2" w:tplc="A6CC774C" w:tentative="1">
      <w:start w:val="1"/>
      <w:numFmt w:val="bullet"/>
      <w:lvlText w:val=""/>
      <w:lvlJc w:val="left"/>
      <w:pPr>
        <w:ind w:left="2160" w:hanging="360"/>
      </w:pPr>
      <w:rPr>
        <w:rFonts w:ascii="Wingdings" w:hAnsi="Wingdings" w:hint="default"/>
      </w:rPr>
    </w:lvl>
    <w:lvl w:ilvl="3" w:tplc="15D02F20" w:tentative="1">
      <w:start w:val="1"/>
      <w:numFmt w:val="bullet"/>
      <w:lvlText w:val=""/>
      <w:lvlJc w:val="left"/>
      <w:pPr>
        <w:ind w:left="2880" w:hanging="360"/>
      </w:pPr>
      <w:rPr>
        <w:rFonts w:ascii="Symbol" w:hAnsi="Symbol" w:hint="default"/>
      </w:rPr>
    </w:lvl>
    <w:lvl w:ilvl="4" w:tplc="32EE2AB6" w:tentative="1">
      <w:start w:val="1"/>
      <w:numFmt w:val="bullet"/>
      <w:lvlText w:val="o"/>
      <w:lvlJc w:val="left"/>
      <w:pPr>
        <w:ind w:left="3600" w:hanging="360"/>
      </w:pPr>
      <w:rPr>
        <w:rFonts w:ascii="Courier New" w:hAnsi="Courier New" w:cs="Courier New" w:hint="default"/>
      </w:rPr>
    </w:lvl>
    <w:lvl w:ilvl="5" w:tplc="E01ADBCE" w:tentative="1">
      <w:start w:val="1"/>
      <w:numFmt w:val="bullet"/>
      <w:lvlText w:val=""/>
      <w:lvlJc w:val="left"/>
      <w:pPr>
        <w:ind w:left="4320" w:hanging="360"/>
      </w:pPr>
      <w:rPr>
        <w:rFonts w:ascii="Wingdings" w:hAnsi="Wingdings" w:hint="default"/>
      </w:rPr>
    </w:lvl>
    <w:lvl w:ilvl="6" w:tplc="2E76F1F4" w:tentative="1">
      <w:start w:val="1"/>
      <w:numFmt w:val="bullet"/>
      <w:lvlText w:val=""/>
      <w:lvlJc w:val="left"/>
      <w:pPr>
        <w:ind w:left="5040" w:hanging="360"/>
      </w:pPr>
      <w:rPr>
        <w:rFonts w:ascii="Symbol" w:hAnsi="Symbol" w:hint="default"/>
      </w:rPr>
    </w:lvl>
    <w:lvl w:ilvl="7" w:tplc="C95ED656" w:tentative="1">
      <w:start w:val="1"/>
      <w:numFmt w:val="bullet"/>
      <w:lvlText w:val="o"/>
      <w:lvlJc w:val="left"/>
      <w:pPr>
        <w:ind w:left="5760" w:hanging="360"/>
      </w:pPr>
      <w:rPr>
        <w:rFonts w:ascii="Courier New" w:hAnsi="Courier New" w:cs="Courier New" w:hint="default"/>
      </w:rPr>
    </w:lvl>
    <w:lvl w:ilvl="8" w:tplc="569E680A" w:tentative="1">
      <w:start w:val="1"/>
      <w:numFmt w:val="bullet"/>
      <w:lvlText w:val=""/>
      <w:lvlJc w:val="left"/>
      <w:pPr>
        <w:ind w:left="6480" w:hanging="360"/>
      </w:pPr>
      <w:rPr>
        <w:rFonts w:ascii="Wingdings" w:hAnsi="Wingdings" w:hint="default"/>
      </w:rPr>
    </w:lvl>
  </w:abstractNum>
  <w:abstractNum w:abstractNumId="9" w15:restartNumberingAfterBreak="0">
    <w:nsid w:val="21865ABB"/>
    <w:multiLevelType w:val="hybridMultilevel"/>
    <w:tmpl w:val="0BE6BFC2"/>
    <w:lvl w:ilvl="0" w:tplc="F8128D4C">
      <w:start w:val="1"/>
      <w:numFmt w:val="decimal"/>
      <w:lvlText w:val="%1."/>
      <w:lvlJc w:val="left"/>
      <w:pPr>
        <w:tabs>
          <w:tab w:val="num" w:pos="720"/>
        </w:tabs>
        <w:ind w:left="720" w:hanging="360"/>
      </w:pPr>
    </w:lvl>
    <w:lvl w:ilvl="1" w:tplc="1430FDA8">
      <w:start w:val="1"/>
      <w:numFmt w:val="decimal"/>
      <w:lvlText w:val="%2."/>
      <w:lvlJc w:val="left"/>
      <w:pPr>
        <w:tabs>
          <w:tab w:val="num" w:pos="1440"/>
        </w:tabs>
        <w:ind w:left="1440" w:hanging="360"/>
      </w:pPr>
    </w:lvl>
    <w:lvl w:ilvl="2" w:tplc="BB46F324" w:tentative="1">
      <w:start w:val="1"/>
      <w:numFmt w:val="decimal"/>
      <w:lvlText w:val="%3."/>
      <w:lvlJc w:val="left"/>
      <w:pPr>
        <w:tabs>
          <w:tab w:val="num" w:pos="2160"/>
        </w:tabs>
        <w:ind w:left="2160" w:hanging="360"/>
      </w:pPr>
    </w:lvl>
    <w:lvl w:ilvl="3" w:tplc="6B86861C" w:tentative="1">
      <w:start w:val="1"/>
      <w:numFmt w:val="decimal"/>
      <w:lvlText w:val="%4."/>
      <w:lvlJc w:val="left"/>
      <w:pPr>
        <w:tabs>
          <w:tab w:val="num" w:pos="2880"/>
        </w:tabs>
        <w:ind w:left="2880" w:hanging="360"/>
      </w:pPr>
    </w:lvl>
    <w:lvl w:ilvl="4" w:tplc="49326B7C" w:tentative="1">
      <w:start w:val="1"/>
      <w:numFmt w:val="decimal"/>
      <w:lvlText w:val="%5."/>
      <w:lvlJc w:val="left"/>
      <w:pPr>
        <w:tabs>
          <w:tab w:val="num" w:pos="3600"/>
        </w:tabs>
        <w:ind w:left="3600" w:hanging="360"/>
      </w:pPr>
    </w:lvl>
    <w:lvl w:ilvl="5" w:tplc="FC46CAF4" w:tentative="1">
      <w:start w:val="1"/>
      <w:numFmt w:val="decimal"/>
      <w:lvlText w:val="%6."/>
      <w:lvlJc w:val="left"/>
      <w:pPr>
        <w:tabs>
          <w:tab w:val="num" w:pos="4320"/>
        </w:tabs>
        <w:ind w:left="4320" w:hanging="360"/>
      </w:pPr>
    </w:lvl>
    <w:lvl w:ilvl="6" w:tplc="83EEC064" w:tentative="1">
      <w:start w:val="1"/>
      <w:numFmt w:val="decimal"/>
      <w:lvlText w:val="%7."/>
      <w:lvlJc w:val="left"/>
      <w:pPr>
        <w:tabs>
          <w:tab w:val="num" w:pos="5040"/>
        </w:tabs>
        <w:ind w:left="5040" w:hanging="360"/>
      </w:pPr>
    </w:lvl>
    <w:lvl w:ilvl="7" w:tplc="4B34674E" w:tentative="1">
      <w:start w:val="1"/>
      <w:numFmt w:val="decimal"/>
      <w:lvlText w:val="%8."/>
      <w:lvlJc w:val="left"/>
      <w:pPr>
        <w:tabs>
          <w:tab w:val="num" w:pos="5760"/>
        </w:tabs>
        <w:ind w:left="5760" w:hanging="360"/>
      </w:pPr>
    </w:lvl>
    <w:lvl w:ilvl="8" w:tplc="9DAA0A88" w:tentative="1">
      <w:start w:val="1"/>
      <w:numFmt w:val="decimal"/>
      <w:lvlText w:val="%9."/>
      <w:lvlJc w:val="left"/>
      <w:pPr>
        <w:tabs>
          <w:tab w:val="num" w:pos="6480"/>
        </w:tabs>
        <w:ind w:left="6480" w:hanging="360"/>
      </w:pPr>
    </w:lvl>
  </w:abstractNum>
  <w:abstractNum w:abstractNumId="10" w15:restartNumberingAfterBreak="0">
    <w:nsid w:val="25A563E1"/>
    <w:multiLevelType w:val="multilevel"/>
    <w:tmpl w:val="9FDC2F22"/>
    <w:lvl w:ilvl="0">
      <w:start w:val="1"/>
      <w:numFmt w:val="decimal"/>
      <w:lvlText w:val="2.%1."/>
      <w:lvlJc w:val="left"/>
      <w:pPr>
        <w:ind w:left="720" w:hanging="360"/>
      </w:pPr>
      <w:rPr>
        <w:rFonts w:hint="default"/>
      </w:rPr>
    </w:lvl>
    <w:lvl w:ilvl="1">
      <w:start w:val="1"/>
      <w:numFmt w:val="decimal"/>
      <w:lvlText w:val="%2."/>
      <w:lvlJc w:val="left"/>
      <w:pPr>
        <w:ind w:left="1080" w:hanging="360"/>
      </w:p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29803E79"/>
    <w:multiLevelType w:val="hybridMultilevel"/>
    <w:tmpl w:val="AF62F5F8"/>
    <w:lvl w:ilvl="0" w:tplc="EB025504">
      <w:start w:val="1"/>
      <w:numFmt w:val="decimal"/>
      <w:lvlText w:val="%1."/>
      <w:lvlJc w:val="left"/>
      <w:pPr>
        <w:ind w:left="720" w:hanging="360"/>
      </w:pPr>
      <w:rPr>
        <w:rFonts w:hint="default"/>
      </w:rPr>
    </w:lvl>
    <w:lvl w:ilvl="1" w:tplc="DD7C7624">
      <w:start w:val="1"/>
      <w:numFmt w:val="lowerLetter"/>
      <w:lvlText w:val="%2."/>
      <w:lvlJc w:val="left"/>
      <w:pPr>
        <w:ind w:left="1440" w:hanging="360"/>
      </w:pPr>
    </w:lvl>
    <w:lvl w:ilvl="2" w:tplc="E920319A" w:tentative="1">
      <w:start w:val="1"/>
      <w:numFmt w:val="lowerRoman"/>
      <w:lvlText w:val="%3."/>
      <w:lvlJc w:val="right"/>
      <w:pPr>
        <w:ind w:left="2160" w:hanging="180"/>
      </w:pPr>
    </w:lvl>
    <w:lvl w:ilvl="3" w:tplc="4CE43546" w:tentative="1">
      <w:start w:val="1"/>
      <w:numFmt w:val="decimal"/>
      <w:lvlText w:val="%4."/>
      <w:lvlJc w:val="left"/>
      <w:pPr>
        <w:ind w:left="2880" w:hanging="360"/>
      </w:pPr>
    </w:lvl>
    <w:lvl w:ilvl="4" w:tplc="0A7209A4" w:tentative="1">
      <w:start w:val="1"/>
      <w:numFmt w:val="lowerLetter"/>
      <w:lvlText w:val="%5."/>
      <w:lvlJc w:val="left"/>
      <w:pPr>
        <w:ind w:left="3600" w:hanging="360"/>
      </w:pPr>
    </w:lvl>
    <w:lvl w:ilvl="5" w:tplc="4D120816" w:tentative="1">
      <w:start w:val="1"/>
      <w:numFmt w:val="lowerRoman"/>
      <w:lvlText w:val="%6."/>
      <w:lvlJc w:val="right"/>
      <w:pPr>
        <w:ind w:left="4320" w:hanging="180"/>
      </w:pPr>
    </w:lvl>
    <w:lvl w:ilvl="6" w:tplc="B2EC88C0" w:tentative="1">
      <w:start w:val="1"/>
      <w:numFmt w:val="decimal"/>
      <w:lvlText w:val="%7."/>
      <w:lvlJc w:val="left"/>
      <w:pPr>
        <w:ind w:left="5040" w:hanging="360"/>
      </w:pPr>
    </w:lvl>
    <w:lvl w:ilvl="7" w:tplc="ACACB478" w:tentative="1">
      <w:start w:val="1"/>
      <w:numFmt w:val="lowerLetter"/>
      <w:lvlText w:val="%8."/>
      <w:lvlJc w:val="left"/>
      <w:pPr>
        <w:ind w:left="5760" w:hanging="360"/>
      </w:pPr>
    </w:lvl>
    <w:lvl w:ilvl="8" w:tplc="D040DD30" w:tentative="1">
      <w:start w:val="1"/>
      <w:numFmt w:val="lowerRoman"/>
      <w:lvlText w:val="%9."/>
      <w:lvlJc w:val="right"/>
      <w:pPr>
        <w:ind w:left="6480" w:hanging="180"/>
      </w:pPr>
    </w:lvl>
  </w:abstractNum>
  <w:abstractNum w:abstractNumId="12" w15:restartNumberingAfterBreak="0">
    <w:nsid w:val="2FC72C1C"/>
    <w:multiLevelType w:val="multilevel"/>
    <w:tmpl w:val="8D2A10C4"/>
    <w:lvl w:ilvl="0">
      <w:start w:val="1"/>
      <w:numFmt w:val="decimal"/>
      <w:lvlText w:val="8.%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33AB523F"/>
    <w:multiLevelType w:val="hybridMultilevel"/>
    <w:tmpl w:val="25080390"/>
    <w:lvl w:ilvl="0" w:tplc="4CF8348A">
      <w:start w:val="1"/>
      <w:numFmt w:val="decimal"/>
      <w:lvlText w:val="%1."/>
      <w:lvlJc w:val="left"/>
      <w:pPr>
        <w:ind w:left="720" w:hanging="360"/>
      </w:pPr>
    </w:lvl>
    <w:lvl w:ilvl="1" w:tplc="12A00BA2">
      <w:start w:val="1"/>
      <w:numFmt w:val="lowerLetter"/>
      <w:lvlText w:val="%2."/>
      <w:lvlJc w:val="left"/>
      <w:pPr>
        <w:ind w:left="1440" w:hanging="360"/>
      </w:pPr>
    </w:lvl>
    <w:lvl w:ilvl="2" w:tplc="A0B6CF36" w:tentative="1">
      <w:start w:val="1"/>
      <w:numFmt w:val="lowerRoman"/>
      <w:lvlText w:val="%3."/>
      <w:lvlJc w:val="right"/>
      <w:pPr>
        <w:ind w:left="2160" w:hanging="180"/>
      </w:pPr>
    </w:lvl>
    <w:lvl w:ilvl="3" w:tplc="CFF0E740" w:tentative="1">
      <w:start w:val="1"/>
      <w:numFmt w:val="decimal"/>
      <w:lvlText w:val="%4."/>
      <w:lvlJc w:val="left"/>
      <w:pPr>
        <w:ind w:left="2880" w:hanging="360"/>
      </w:pPr>
    </w:lvl>
    <w:lvl w:ilvl="4" w:tplc="0D746E58" w:tentative="1">
      <w:start w:val="1"/>
      <w:numFmt w:val="lowerLetter"/>
      <w:lvlText w:val="%5."/>
      <w:lvlJc w:val="left"/>
      <w:pPr>
        <w:ind w:left="3600" w:hanging="360"/>
      </w:pPr>
    </w:lvl>
    <w:lvl w:ilvl="5" w:tplc="8780D394" w:tentative="1">
      <w:start w:val="1"/>
      <w:numFmt w:val="lowerRoman"/>
      <w:lvlText w:val="%6."/>
      <w:lvlJc w:val="right"/>
      <w:pPr>
        <w:ind w:left="4320" w:hanging="180"/>
      </w:pPr>
    </w:lvl>
    <w:lvl w:ilvl="6" w:tplc="657483C6" w:tentative="1">
      <w:start w:val="1"/>
      <w:numFmt w:val="decimal"/>
      <w:lvlText w:val="%7."/>
      <w:lvlJc w:val="left"/>
      <w:pPr>
        <w:ind w:left="5040" w:hanging="360"/>
      </w:pPr>
    </w:lvl>
    <w:lvl w:ilvl="7" w:tplc="B2FAD5AE" w:tentative="1">
      <w:start w:val="1"/>
      <w:numFmt w:val="lowerLetter"/>
      <w:lvlText w:val="%8."/>
      <w:lvlJc w:val="left"/>
      <w:pPr>
        <w:ind w:left="5760" w:hanging="360"/>
      </w:pPr>
    </w:lvl>
    <w:lvl w:ilvl="8" w:tplc="04C433CE" w:tentative="1">
      <w:start w:val="1"/>
      <w:numFmt w:val="lowerRoman"/>
      <w:lvlText w:val="%9."/>
      <w:lvlJc w:val="right"/>
      <w:pPr>
        <w:ind w:left="6480" w:hanging="180"/>
      </w:pPr>
    </w:lvl>
  </w:abstractNum>
  <w:abstractNum w:abstractNumId="14" w15:restartNumberingAfterBreak="0">
    <w:nsid w:val="347643F0"/>
    <w:multiLevelType w:val="hybridMultilevel"/>
    <w:tmpl w:val="45E494E8"/>
    <w:lvl w:ilvl="0" w:tplc="3CE22758">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A7B4B01"/>
    <w:multiLevelType w:val="hybridMultilevel"/>
    <w:tmpl w:val="52562CB4"/>
    <w:lvl w:ilvl="0" w:tplc="7CEE4C90">
      <w:start w:val="1"/>
      <w:numFmt w:val="decimal"/>
      <w:lvlText w:val="%1."/>
      <w:lvlJc w:val="left"/>
      <w:pPr>
        <w:ind w:left="720" w:hanging="360"/>
      </w:pPr>
      <w:rPr>
        <w:rFonts w:hint="default"/>
      </w:rPr>
    </w:lvl>
    <w:lvl w:ilvl="1" w:tplc="91669E7C" w:tentative="1">
      <w:start w:val="1"/>
      <w:numFmt w:val="lowerLetter"/>
      <w:lvlText w:val="%2."/>
      <w:lvlJc w:val="left"/>
      <w:pPr>
        <w:ind w:left="1440" w:hanging="360"/>
      </w:pPr>
    </w:lvl>
    <w:lvl w:ilvl="2" w:tplc="AD04075E" w:tentative="1">
      <w:start w:val="1"/>
      <w:numFmt w:val="lowerRoman"/>
      <w:lvlText w:val="%3."/>
      <w:lvlJc w:val="right"/>
      <w:pPr>
        <w:ind w:left="2160" w:hanging="180"/>
      </w:pPr>
    </w:lvl>
    <w:lvl w:ilvl="3" w:tplc="034E15CE" w:tentative="1">
      <w:start w:val="1"/>
      <w:numFmt w:val="decimal"/>
      <w:lvlText w:val="%4."/>
      <w:lvlJc w:val="left"/>
      <w:pPr>
        <w:ind w:left="2880" w:hanging="360"/>
      </w:pPr>
    </w:lvl>
    <w:lvl w:ilvl="4" w:tplc="E9E0C7C4" w:tentative="1">
      <w:start w:val="1"/>
      <w:numFmt w:val="lowerLetter"/>
      <w:lvlText w:val="%5."/>
      <w:lvlJc w:val="left"/>
      <w:pPr>
        <w:ind w:left="3600" w:hanging="360"/>
      </w:pPr>
    </w:lvl>
    <w:lvl w:ilvl="5" w:tplc="4E90721A" w:tentative="1">
      <w:start w:val="1"/>
      <w:numFmt w:val="lowerRoman"/>
      <w:lvlText w:val="%6."/>
      <w:lvlJc w:val="right"/>
      <w:pPr>
        <w:ind w:left="4320" w:hanging="180"/>
      </w:pPr>
    </w:lvl>
    <w:lvl w:ilvl="6" w:tplc="E9866174" w:tentative="1">
      <w:start w:val="1"/>
      <w:numFmt w:val="decimal"/>
      <w:lvlText w:val="%7."/>
      <w:lvlJc w:val="left"/>
      <w:pPr>
        <w:ind w:left="5040" w:hanging="360"/>
      </w:pPr>
    </w:lvl>
    <w:lvl w:ilvl="7" w:tplc="0E4AAD9A" w:tentative="1">
      <w:start w:val="1"/>
      <w:numFmt w:val="lowerLetter"/>
      <w:lvlText w:val="%8."/>
      <w:lvlJc w:val="left"/>
      <w:pPr>
        <w:ind w:left="5760" w:hanging="360"/>
      </w:pPr>
    </w:lvl>
    <w:lvl w:ilvl="8" w:tplc="5A028316" w:tentative="1">
      <w:start w:val="1"/>
      <w:numFmt w:val="lowerRoman"/>
      <w:lvlText w:val="%9."/>
      <w:lvlJc w:val="right"/>
      <w:pPr>
        <w:ind w:left="6480" w:hanging="180"/>
      </w:pPr>
    </w:lvl>
  </w:abstractNum>
  <w:abstractNum w:abstractNumId="16" w15:restartNumberingAfterBreak="0">
    <w:nsid w:val="3BFC6EEF"/>
    <w:multiLevelType w:val="hybridMultilevel"/>
    <w:tmpl w:val="E49A945C"/>
    <w:lvl w:ilvl="0" w:tplc="D5E06958">
      <w:start w:val="1"/>
      <w:numFmt w:val="decimal"/>
      <w:lvlText w:val="%1."/>
      <w:lvlJc w:val="left"/>
      <w:pPr>
        <w:ind w:left="720" w:hanging="360"/>
      </w:pPr>
      <w:rPr>
        <w:rFonts w:hint="default"/>
      </w:rPr>
    </w:lvl>
    <w:lvl w:ilvl="1" w:tplc="B9E2A8CE" w:tentative="1">
      <w:start w:val="1"/>
      <w:numFmt w:val="lowerLetter"/>
      <w:lvlText w:val="%2."/>
      <w:lvlJc w:val="left"/>
      <w:pPr>
        <w:ind w:left="1440" w:hanging="360"/>
      </w:pPr>
    </w:lvl>
    <w:lvl w:ilvl="2" w:tplc="5A2EE814" w:tentative="1">
      <w:start w:val="1"/>
      <w:numFmt w:val="lowerRoman"/>
      <w:lvlText w:val="%3."/>
      <w:lvlJc w:val="right"/>
      <w:pPr>
        <w:ind w:left="2160" w:hanging="180"/>
      </w:pPr>
    </w:lvl>
    <w:lvl w:ilvl="3" w:tplc="D748A0DA" w:tentative="1">
      <w:start w:val="1"/>
      <w:numFmt w:val="decimal"/>
      <w:lvlText w:val="%4."/>
      <w:lvlJc w:val="left"/>
      <w:pPr>
        <w:ind w:left="2880" w:hanging="360"/>
      </w:pPr>
    </w:lvl>
    <w:lvl w:ilvl="4" w:tplc="57D02E4C" w:tentative="1">
      <w:start w:val="1"/>
      <w:numFmt w:val="lowerLetter"/>
      <w:lvlText w:val="%5."/>
      <w:lvlJc w:val="left"/>
      <w:pPr>
        <w:ind w:left="3600" w:hanging="360"/>
      </w:pPr>
    </w:lvl>
    <w:lvl w:ilvl="5" w:tplc="8EF0EECC" w:tentative="1">
      <w:start w:val="1"/>
      <w:numFmt w:val="lowerRoman"/>
      <w:lvlText w:val="%6."/>
      <w:lvlJc w:val="right"/>
      <w:pPr>
        <w:ind w:left="4320" w:hanging="180"/>
      </w:pPr>
    </w:lvl>
    <w:lvl w:ilvl="6" w:tplc="D044742E" w:tentative="1">
      <w:start w:val="1"/>
      <w:numFmt w:val="decimal"/>
      <w:lvlText w:val="%7."/>
      <w:lvlJc w:val="left"/>
      <w:pPr>
        <w:ind w:left="5040" w:hanging="360"/>
      </w:pPr>
    </w:lvl>
    <w:lvl w:ilvl="7" w:tplc="7CF8DACA" w:tentative="1">
      <w:start w:val="1"/>
      <w:numFmt w:val="lowerLetter"/>
      <w:lvlText w:val="%8."/>
      <w:lvlJc w:val="left"/>
      <w:pPr>
        <w:ind w:left="5760" w:hanging="360"/>
      </w:pPr>
    </w:lvl>
    <w:lvl w:ilvl="8" w:tplc="324AD1EE" w:tentative="1">
      <w:start w:val="1"/>
      <w:numFmt w:val="lowerRoman"/>
      <w:lvlText w:val="%9."/>
      <w:lvlJc w:val="right"/>
      <w:pPr>
        <w:ind w:left="6480" w:hanging="180"/>
      </w:pPr>
    </w:lvl>
  </w:abstractNum>
  <w:abstractNum w:abstractNumId="17" w15:restartNumberingAfterBreak="0">
    <w:nsid w:val="439D2591"/>
    <w:multiLevelType w:val="hybridMultilevel"/>
    <w:tmpl w:val="E51AAB88"/>
    <w:lvl w:ilvl="0" w:tplc="55FE56C4">
      <w:start w:val="1"/>
      <w:numFmt w:val="decimal"/>
      <w:pStyle w:val="Heading1"/>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7FF46D8"/>
    <w:multiLevelType w:val="hybridMultilevel"/>
    <w:tmpl w:val="3D5C53D8"/>
    <w:lvl w:ilvl="0" w:tplc="8BDE29EA">
      <w:start w:val="1"/>
      <w:numFmt w:val="decimal"/>
      <w:pStyle w:val="Heading3"/>
      <w:lvlText w:val="%1."/>
      <w:lvlJc w:val="left"/>
      <w:pPr>
        <w:ind w:left="720" w:hanging="360"/>
      </w:pPr>
    </w:lvl>
    <w:lvl w:ilvl="1" w:tplc="5576E64C" w:tentative="1">
      <w:start w:val="1"/>
      <w:numFmt w:val="lowerLetter"/>
      <w:lvlText w:val="%2."/>
      <w:lvlJc w:val="left"/>
      <w:pPr>
        <w:ind w:left="1440" w:hanging="360"/>
      </w:pPr>
    </w:lvl>
    <w:lvl w:ilvl="2" w:tplc="8CC4DE4E" w:tentative="1">
      <w:start w:val="1"/>
      <w:numFmt w:val="lowerRoman"/>
      <w:lvlText w:val="%3."/>
      <w:lvlJc w:val="right"/>
      <w:pPr>
        <w:ind w:left="2160" w:hanging="180"/>
      </w:pPr>
    </w:lvl>
    <w:lvl w:ilvl="3" w:tplc="EF1EEC36" w:tentative="1">
      <w:start w:val="1"/>
      <w:numFmt w:val="decimal"/>
      <w:lvlText w:val="%4."/>
      <w:lvlJc w:val="left"/>
      <w:pPr>
        <w:ind w:left="2880" w:hanging="360"/>
      </w:pPr>
    </w:lvl>
    <w:lvl w:ilvl="4" w:tplc="519EA902" w:tentative="1">
      <w:start w:val="1"/>
      <w:numFmt w:val="lowerLetter"/>
      <w:lvlText w:val="%5."/>
      <w:lvlJc w:val="left"/>
      <w:pPr>
        <w:ind w:left="3600" w:hanging="360"/>
      </w:pPr>
    </w:lvl>
    <w:lvl w:ilvl="5" w:tplc="4A924CCE" w:tentative="1">
      <w:start w:val="1"/>
      <w:numFmt w:val="lowerRoman"/>
      <w:lvlText w:val="%6."/>
      <w:lvlJc w:val="right"/>
      <w:pPr>
        <w:ind w:left="4320" w:hanging="180"/>
      </w:pPr>
    </w:lvl>
    <w:lvl w:ilvl="6" w:tplc="FDB82150" w:tentative="1">
      <w:start w:val="1"/>
      <w:numFmt w:val="decimal"/>
      <w:lvlText w:val="%7."/>
      <w:lvlJc w:val="left"/>
      <w:pPr>
        <w:ind w:left="5040" w:hanging="360"/>
      </w:pPr>
    </w:lvl>
    <w:lvl w:ilvl="7" w:tplc="75409ABC" w:tentative="1">
      <w:start w:val="1"/>
      <w:numFmt w:val="lowerLetter"/>
      <w:lvlText w:val="%8."/>
      <w:lvlJc w:val="left"/>
      <w:pPr>
        <w:ind w:left="5760" w:hanging="360"/>
      </w:pPr>
    </w:lvl>
    <w:lvl w:ilvl="8" w:tplc="C12C49CE" w:tentative="1">
      <w:start w:val="1"/>
      <w:numFmt w:val="lowerRoman"/>
      <w:lvlText w:val="%9."/>
      <w:lvlJc w:val="right"/>
      <w:pPr>
        <w:ind w:left="6480" w:hanging="180"/>
      </w:pPr>
    </w:lvl>
  </w:abstractNum>
  <w:abstractNum w:abstractNumId="19" w15:restartNumberingAfterBreak="0">
    <w:nsid w:val="4C104D29"/>
    <w:multiLevelType w:val="hybridMultilevel"/>
    <w:tmpl w:val="C3F068D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CF04A68"/>
    <w:multiLevelType w:val="multilevel"/>
    <w:tmpl w:val="93025CF6"/>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E7D5A52"/>
    <w:multiLevelType w:val="hybridMultilevel"/>
    <w:tmpl w:val="865E4B6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64E3D8C"/>
    <w:multiLevelType w:val="multilevel"/>
    <w:tmpl w:val="ACA49006"/>
    <w:lvl w:ilvl="0">
      <w:start w:val="5"/>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A040EA6"/>
    <w:multiLevelType w:val="hybridMultilevel"/>
    <w:tmpl w:val="764478EC"/>
    <w:lvl w:ilvl="0" w:tplc="65643632">
      <w:start w:val="1"/>
      <w:numFmt w:val="bullet"/>
      <w:lvlText w:val=""/>
      <w:lvlJc w:val="left"/>
      <w:pPr>
        <w:ind w:left="720" w:hanging="360"/>
      </w:pPr>
      <w:rPr>
        <w:rFonts w:ascii="Symbol" w:hAnsi="Symbol" w:hint="default"/>
      </w:rPr>
    </w:lvl>
    <w:lvl w:ilvl="1" w:tplc="69DA4A68" w:tentative="1">
      <w:start w:val="1"/>
      <w:numFmt w:val="bullet"/>
      <w:lvlText w:val="o"/>
      <w:lvlJc w:val="left"/>
      <w:pPr>
        <w:ind w:left="1440" w:hanging="360"/>
      </w:pPr>
      <w:rPr>
        <w:rFonts w:ascii="Courier New" w:hAnsi="Courier New" w:cs="Courier New" w:hint="default"/>
      </w:rPr>
    </w:lvl>
    <w:lvl w:ilvl="2" w:tplc="F4E6C7A6" w:tentative="1">
      <w:start w:val="1"/>
      <w:numFmt w:val="bullet"/>
      <w:lvlText w:val=""/>
      <w:lvlJc w:val="left"/>
      <w:pPr>
        <w:ind w:left="2160" w:hanging="360"/>
      </w:pPr>
      <w:rPr>
        <w:rFonts w:ascii="Wingdings" w:hAnsi="Wingdings" w:hint="default"/>
      </w:rPr>
    </w:lvl>
    <w:lvl w:ilvl="3" w:tplc="B0E28052" w:tentative="1">
      <w:start w:val="1"/>
      <w:numFmt w:val="bullet"/>
      <w:lvlText w:val=""/>
      <w:lvlJc w:val="left"/>
      <w:pPr>
        <w:ind w:left="2880" w:hanging="360"/>
      </w:pPr>
      <w:rPr>
        <w:rFonts w:ascii="Symbol" w:hAnsi="Symbol" w:hint="default"/>
      </w:rPr>
    </w:lvl>
    <w:lvl w:ilvl="4" w:tplc="6158FBE6" w:tentative="1">
      <w:start w:val="1"/>
      <w:numFmt w:val="bullet"/>
      <w:lvlText w:val="o"/>
      <w:lvlJc w:val="left"/>
      <w:pPr>
        <w:ind w:left="3600" w:hanging="360"/>
      </w:pPr>
      <w:rPr>
        <w:rFonts w:ascii="Courier New" w:hAnsi="Courier New" w:cs="Courier New" w:hint="default"/>
      </w:rPr>
    </w:lvl>
    <w:lvl w:ilvl="5" w:tplc="404E80EA" w:tentative="1">
      <w:start w:val="1"/>
      <w:numFmt w:val="bullet"/>
      <w:lvlText w:val=""/>
      <w:lvlJc w:val="left"/>
      <w:pPr>
        <w:ind w:left="4320" w:hanging="360"/>
      </w:pPr>
      <w:rPr>
        <w:rFonts w:ascii="Wingdings" w:hAnsi="Wingdings" w:hint="default"/>
      </w:rPr>
    </w:lvl>
    <w:lvl w:ilvl="6" w:tplc="14681942" w:tentative="1">
      <w:start w:val="1"/>
      <w:numFmt w:val="bullet"/>
      <w:lvlText w:val=""/>
      <w:lvlJc w:val="left"/>
      <w:pPr>
        <w:ind w:left="5040" w:hanging="360"/>
      </w:pPr>
      <w:rPr>
        <w:rFonts w:ascii="Symbol" w:hAnsi="Symbol" w:hint="default"/>
      </w:rPr>
    </w:lvl>
    <w:lvl w:ilvl="7" w:tplc="7E0899D2" w:tentative="1">
      <w:start w:val="1"/>
      <w:numFmt w:val="bullet"/>
      <w:lvlText w:val="o"/>
      <w:lvlJc w:val="left"/>
      <w:pPr>
        <w:ind w:left="5760" w:hanging="360"/>
      </w:pPr>
      <w:rPr>
        <w:rFonts w:ascii="Courier New" w:hAnsi="Courier New" w:cs="Courier New" w:hint="default"/>
      </w:rPr>
    </w:lvl>
    <w:lvl w:ilvl="8" w:tplc="774645D0" w:tentative="1">
      <w:start w:val="1"/>
      <w:numFmt w:val="bullet"/>
      <w:lvlText w:val=""/>
      <w:lvlJc w:val="left"/>
      <w:pPr>
        <w:ind w:left="6480" w:hanging="360"/>
      </w:pPr>
      <w:rPr>
        <w:rFonts w:ascii="Wingdings" w:hAnsi="Wingdings" w:hint="default"/>
      </w:rPr>
    </w:lvl>
  </w:abstractNum>
  <w:abstractNum w:abstractNumId="24" w15:restartNumberingAfterBreak="0">
    <w:nsid w:val="5F4F2E75"/>
    <w:multiLevelType w:val="multilevel"/>
    <w:tmpl w:val="C4DE0944"/>
    <w:lvl w:ilvl="0">
      <w:start w:val="1"/>
      <w:numFmt w:val="decimal"/>
      <w:lvlText w:val="7.%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78384888"/>
    <w:multiLevelType w:val="hybridMultilevel"/>
    <w:tmpl w:val="52562CB4"/>
    <w:lvl w:ilvl="0" w:tplc="3938810C">
      <w:start w:val="1"/>
      <w:numFmt w:val="decimal"/>
      <w:lvlText w:val="%1."/>
      <w:lvlJc w:val="left"/>
      <w:pPr>
        <w:ind w:left="720" w:hanging="360"/>
      </w:pPr>
      <w:rPr>
        <w:rFonts w:hint="default"/>
      </w:rPr>
    </w:lvl>
    <w:lvl w:ilvl="1" w:tplc="11D458DE" w:tentative="1">
      <w:start w:val="1"/>
      <w:numFmt w:val="lowerLetter"/>
      <w:lvlText w:val="%2."/>
      <w:lvlJc w:val="left"/>
      <w:pPr>
        <w:ind w:left="1440" w:hanging="360"/>
      </w:pPr>
    </w:lvl>
    <w:lvl w:ilvl="2" w:tplc="CAEA2920" w:tentative="1">
      <w:start w:val="1"/>
      <w:numFmt w:val="lowerRoman"/>
      <w:lvlText w:val="%3."/>
      <w:lvlJc w:val="right"/>
      <w:pPr>
        <w:ind w:left="2160" w:hanging="180"/>
      </w:pPr>
    </w:lvl>
    <w:lvl w:ilvl="3" w:tplc="2056C56E" w:tentative="1">
      <w:start w:val="1"/>
      <w:numFmt w:val="decimal"/>
      <w:lvlText w:val="%4."/>
      <w:lvlJc w:val="left"/>
      <w:pPr>
        <w:ind w:left="2880" w:hanging="360"/>
      </w:pPr>
    </w:lvl>
    <w:lvl w:ilvl="4" w:tplc="B4526652" w:tentative="1">
      <w:start w:val="1"/>
      <w:numFmt w:val="lowerLetter"/>
      <w:lvlText w:val="%5."/>
      <w:lvlJc w:val="left"/>
      <w:pPr>
        <w:ind w:left="3600" w:hanging="360"/>
      </w:pPr>
    </w:lvl>
    <w:lvl w:ilvl="5" w:tplc="F196A754" w:tentative="1">
      <w:start w:val="1"/>
      <w:numFmt w:val="lowerRoman"/>
      <w:lvlText w:val="%6."/>
      <w:lvlJc w:val="right"/>
      <w:pPr>
        <w:ind w:left="4320" w:hanging="180"/>
      </w:pPr>
    </w:lvl>
    <w:lvl w:ilvl="6" w:tplc="BF3047C6" w:tentative="1">
      <w:start w:val="1"/>
      <w:numFmt w:val="decimal"/>
      <w:lvlText w:val="%7."/>
      <w:lvlJc w:val="left"/>
      <w:pPr>
        <w:ind w:left="5040" w:hanging="360"/>
      </w:pPr>
    </w:lvl>
    <w:lvl w:ilvl="7" w:tplc="E2ECFFF6" w:tentative="1">
      <w:start w:val="1"/>
      <w:numFmt w:val="lowerLetter"/>
      <w:lvlText w:val="%8."/>
      <w:lvlJc w:val="left"/>
      <w:pPr>
        <w:ind w:left="5760" w:hanging="360"/>
      </w:pPr>
    </w:lvl>
    <w:lvl w:ilvl="8" w:tplc="1E02A218" w:tentative="1">
      <w:start w:val="1"/>
      <w:numFmt w:val="lowerRoman"/>
      <w:lvlText w:val="%9."/>
      <w:lvlJc w:val="right"/>
      <w:pPr>
        <w:ind w:left="6480" w:hanging="180"/>
      </w:pPr>
    </w:lvl>
  </w:abstractNum>
  <w:num w:numId="1" w16cid:durableId="1370645759">
    <w:abstractNumId w:val="18"/>
  </w:num>
  <w:num w:numId="2" w16cid:durableId="1405958235">
    <w:abstractNumId w:val="11"/>
  </w:num>
  <w:num w:numId="3" w16cid:durableId="1011757819">
    <w:abstractNumId w:val="5"/>
  </w:num>
  <w:num w:numId="4" w16cid:durableId="1518079276">
    <w:abstractNumId w:val="8"/>
  </w:num>
  <w:num w:numId="5" w16cid:durableId="1935892588">
    <w:abstractNumId w:val="15"/>
  </w:num>
  <w:num w:numId="6" w16cid:durableId="2054646984">
    <w:abstractNumId w:val="16"/>
  </w:num>
  <w:num w:numId="7" w16cid:durableId="1101996387">
    <w:abstractNumId w:val="3"/>
  </w:num>
  <w:num w:numId="8" w16cid:durableId="1866365483">
    <w:abstractNumId w:val="25"/>
  </w:num>
  <w:num w:numId="9" w16cid:durableId="1225145181">
    <w:abstractNumId w:val="23"/>
  </w:num>
  <w:num w:numId="10" w16cid:durableId="29305805">
    <w:abstractNumId w:val="13"/>
  </w:num>
  <w:num w:numId="11" w16cid:durableId="856699860">
    <w:abstractNumId w:val="0"/>
  </w:num>
  <w:num w:numId="12" w16cid:durableId="305089761">
    <w:abstractNumId w:val="1"/>
  </w:num>
  <w:num w:numId="13" w16cid:durableId="1205485392">
    <w:abstractNumId w:val="4"/>
  </w:num>
  <w:num w:numId="14" w16cid:durableId="1823081413">
    <w:abstractNumId w:val="10"/>
  </w:num>
  <w:num w:numId="15" w16cid:durableId="1950161896">
    <w:abstractNumId w:val="21"/>
  </w:num>
  <w:num w:numId="16" w16cid:durableId="1790201481">
    <w:abstractNumId w:val="24"/>
  </w:num>
  <w:num w:numId="17" w16cid:durableId="1959529201">
    <w:abstractNumId w:val="17"/>
  </w:num>
  <w:num w:numId="18" w16cid:durableId="476000637">
    <w:abstractNumId w:val="19"/>
  </w:num>
  <w:num w:numId="19" w16cid:durableId="1836259243">
    <w:abstractNumId w:val="14"/>
  </w:num>
  <w:num w:numId="20" w16cid:durableId="1817722837">
    <w:abstractNumId w:val="12"/>
  </w:num>
  <w:num w:numId="21" w16cid:durableId="848061099">
    <w:abstractNumId w:val="2"/>
  </w:num>
  <w:num w:numId="22" w16cid:durableId="602151918">
    <w:abstractNumId w:val="22"/>
  </w:num>
  <w:num w:numId="23" w16cid:durableId="1063218999">
    <w:abstractNumId w:val="6"/>
  </w:num>
  <w:num w:numId="24" w16cid:durableId="170799766">
    <w:abstractNumId w:val="20"/>
  </w:num>
  <w:num w:numId="25" w16cid:durableId="956067261">
    <w:abstractNumId w:val="9"/>
  </w:num>
  <w:num w:numId="26" w16cid:durableId="465902668">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47"/>
    <w:rsid w:val="00013DEB"/>
    <w:rsid w:val="0002419C"/>
    <w:rsid w:val="0002450C"/>
    <w:rsid w:val="00024F5B"/>
    <w:rsid w:val="000356E8"/>
    <w:rsid w:val="00046222"/>
    <w:rsid w:val="000477A7"/>
    <w:rsid w:val="000679AC"/>
    <w:rsid w:val="00073AC4"/>
    <w:rsid w:val="00076D44"/>
    <w:rsid w:val="00087DBC"/>
    <w:rsid w:val="000920D2"/>
    <w:rsid w:val="000A6F5F"/>
    <w:rsid w:val="000B03C6"/>
    <w:rsid w:val="000B24F1"/>
    <w:rsid w:val="000B372E"/>
    <w:rsid w:val="000D1640"/>
    <w:rsid w:val="000D6A85"/>
    <w:rsid w:val="000E2F1D"/>
    <w:rsid w:val="000E4217"/>
    <w:rsid w:val="000F1EFE"/>
    <w:rsid w:val="000F6E1D"/>
    <w:rsid w:val="00110ED4"/>
    <w:rsid w:val="0012102A"/>
    <w:rsid w:val="00121837"/>
    <w:rsid w:val="0012521C"/>
    <w:rsid w:val="001604F9"/>
    <w:rsid w:val="00166A6D"/>
    <w:rsid w:val="00181AFE"/>
    <w:rsid w:val="00187B13"/>
    <w:rsid w:val="0019513E"/>
    <w:rsid w:val="001B21A2"/>
    <w:rsid w:val="001D310B"/>
    <w:rsid w:val="001E2735"/>
    <w:rsid w:val="001E62E3"/>
    <w:rsid w:val="002012A8"/>
    <w:rsid w:val="002059BA"/>
    <w:rsid w:val="00205F57"/>
    <w:rsid w:val="00206177"/>
    <w:rsid w:val="00214DE3"/>
    <w:rsid w:val="00221AE5"/>
    <w:rsid w:val="002319F6"/>
    <w:rsid w:val="00242A47"/>
    <w:rsid w:val="00245393"/>
    <w:rsid w:val="00246C9C"/>
    <w:rsid w:val="002530B4"/>
    <w:rsid w:val="0025374B"/>
    <w:rsid w:val="002564D2"/>
    <w:rsid w:val="00257AE3"/>
    <w:rsid w:val="0026084C"/>
    <w:rsid w:val="002622B7"/>
    <w:rsid w:val="0028378E"/>
    <w:rsid w:val="002C4DA5"/>
    <w:rsid w:val="002C7EA0"/>
    <w:rsid w:val="002D47FC"/>
    <w:rsid w:val="002D66C8"/>
    <w:rsid w:val="002D6A9C"/>
    <w:rsid w:val="002E07B3"/>
    <w:rsid w:val="002F52EA"/>
    <w:rsid w:val="002F74F3"/>
    <w:rsid w:val="00322C73"/>
    <w:rsid w:val="00323C80"/>
    <w:rsid w:val="003312EE"/>
    <w:rsid w:val="00331E12"/>
    <w:rsid w:val="0034737E"/>
    <w:rsid w:val="003507A1"/>
    <w:rsid w:val="00360D57"/>
    <w:rsid w:val="00361CC1"/>
    <w:rsid w:val="00362A61"/>
    <w:rsid w:val="003667FE"/>
    <w:rsid w:val="00376126"/>
    <w:rsid w:val="00382C33"/>
    <w:rsid w:val="00384F14"/>
    <w:rsid w:val="00385E42"/>
    <w:rsid w:val="003973DF"/>
    <w:rsid w:val="003D0593"/>
    <w:rsid w:val="003D0E97"/>
    <w:rsid w:val="003D3573"/>
    <w:rsid w:val="003D53B5"/>
    <w:rsid w:val="003E4CC8"/>
    <w:rsid w:val="003E5127"/>
    <w:rsid w:val="003E6686"/>
    <w:rsid w:val="003F6B32"/>
    <w:rsid w:val="003F7904"/>
    <w:rsid w:val="00407E19"/>
    <w:rsid w:val="004115D1"/>
    <w:rsid w:val="0041241A"/>
    <w:rsid w:val="00417235"/>
    <w:rsid w:val="00420CCA"/>
    <w:rsid w:val="0042193C"/>
    <w:rsid w:val="004373C1"/>
    <w:rsid w:val="0044366E"/>
    <w:rsid w:val="00443A35"/>
    <w:rsid w:val="00465C7D"/>
    <w:rsid w:val="00466D70"/>
    <w:rsid w:val="00474708"/>
    <w:rsid w:val="00480EBB"/>
    <w:rsid w:val="004815FF"/>
    <w:rsid w:val="0049392E"/>
    <w:rsid w:val="0049513F"/>
    <w:rsid w:val="004A3586"/>
    <w:rsid w:val="004B1D54"/>
    <w:rsid w:val="004F43D2"/>
    <w:rsid w:val="00505B88"/>
    <w:rsid w:val="00510FD5"/>
    <w:rsid w:val="005130BA"/>
    <w:rsid w:val="00532DD1"/>
    <w:rsid w:val="00540DA3"/>
    <w:rsid w:val="005427EC"/>
    <w:rsid w:val="00546E6E"/>
    <w:rsid w:val="00553D23"/>
    <w:rsid w:val="0056079C"/>
    <w:rsid w:val="005663E0"/>
    <w:rsid w:val="0056736B"/>
    <w:rsid w:val="00571F62"/>
    <w:rsid w:val="00572BE0"/>
    <w:rsid w:val="00577992"/>
    <w:rsid w:val="00581AE2"/>
    <w:rsid w:val="00582F53"/>
    <w:rsid w:val="00584AD4"/>
    <w:rsid w:val="005930BD"/>
    <w:rsid w:val="005967B2"/>
    <w:rsid w:val="005A4D82"/>
    <w:rsid w:val="005C1B38"/>
    <w:rsid w:val="005C6D0D"/>
    <w:rsid w:val="005E418C"/>
    <w:rsid w:val="006014D7"/>
    <w:rsid w:val="0061398C"/>
    <w:rsid w:val="00614095"/>
    <w:rsid w:val="00622B93"/>
    <w:rsid w:val="00626FC8"/>
    <w:rsid w:val="00664632"/>
    <w:rsid w:val="00684306"/>
    <w:rsid w:val="0069293F"/>
    <w:rsid w:val="006A3E93"/>
    <w:rsid w:val="006B4F0F"/>
    <w:rsid w:val="006B7AAE"/>
    <w:rsid w:val="006C6463"/>
    <w:rsid w:val="006C7147"/>
    <w:rsid w:val="006D2FB3"/>
    <w:rsid w:val="006D7B4D"/>
    <w:rsid w:val="006E7F74"/>
    <w:rsid w:val="006F28F9"/>
    <w:rsid w:val="006F2977"/>
    <w:rsid w:val="006F3D62"/>
    <w:rsid w:val="006F68AE"/>
    <w:rsid w:val="00707E48"/>
    <w:rsid w:val="007161B3"/>
    <w:rsid w:val="007227DD"/>
    <w:rsid w:val="0072697E"/>
    <w:rsid w:val="007272C9"/>
    <w:rsid w:val="00730294"/>
    <w:rsid w:val="00731CF7"/>
    <w:rsid w:val="00732BA3"/>
    <w:rsid w:val="007427B2"/>
    <w:rsid w:val="0074728E"/>
    <w:rsid w:val="0075490C"/>
    <w:rsid w:val="00767294"/>
    <w:rsid w:val="007735FB"/>
    <w:rsid w:val="007847F6"/>
    <w:rsid w:val="00790615"/>
    <w:rsid w:val="0079770F"/>
    <w:rsid w:val="00797857"/>
    <w:rsid w:val="007A18F5"/>
    <w:rsid w:val="007A3231"/>
    <w:rsid w:val="007A7AE5"/>
    <w:rsid w:val="007C43A8"/>
    <w:rsid w:val="007C65B9"/>
    <w:rsid w:val="007D14F3"/>
    <w:rsid w:val="007D3C06"/>
    <w:rsid w:val="007D5E6D"/>
    <w:rsid w:val="007F1993"/>
    <w:rsid w:val="007F208C"/>
    <w:rsid w:val="007F2CEA"/>
    <w:rsid w:val="007F54C3"/>
    <w:rsid w:val="007F7BC0"/>
    <w:rsid w:val="0080161E"/>
    <w:rsid w:val="0080585D"/>
    <w:rsid w:val="0084444D"/>
    <w:rsid w:val="00845F7E"/>
    <w:rsid w:val="00846320"/>
    <w:rsid w:val="008559FA"/>
    <w:rsid w:val="0087528F"/>
    <w:rsid w:val="00880009"/>
    <w:rsid w:val="008857A3"/>
    <w:rsid w:val="00886B0B"/>
    <w:rsid w:val="0089362D"/>
    <w:rsid w:val="008A3A99"/>
    <w:rsid w:val="008B1978"/>
    <w:rsid w:val="008C1F1C"/>
    <w:rsid w:val="008D1089"/>
    <w:rsid w:val="008D33F4"/>
    <w:rsid w:val="008D4A5A"/>
    <w:rsid w:val="008E1BB5"/>
    <w:rsid w:val="008F26D2"/>
    <w:rsid w:val="0090206F"/>
    <w:rsid w:val="00902436"/>
    <w:rsid w:val="009032D3"/>
    <w:rsid w:val="00905EF8"/>
    <w:rsid w:val="00914EED"/>
    <w:rsid w:val="00917A15"/>
    <w:rsid w:val="00925B31"/>
    <w:rsid w:val="00927651"/>
    <w:rsid w:val="00930947"/>
    <w:rsid w:val="0093094E"/>
    <w:rsid w:val="009430EE"/>
    <w:rsid w:val="009446CD"/>
    <w:rsid w:val="00953363"/>
    <w:rsid w:val="0097448C"/>
    <w:rsid w:val="00974F1A"/>
    <w:rsid w:val="009A576B"/>
    <w:rsid w:val="009B1CF3"/>
    <w:rsid w:val="009D0626"/>
    <w:rsid w:val="009D3824"/>
    <w:rsid w:val="009D673F"/>
    <w:rsid w:val="009E5C94"/>
    <w:rsid w:val="009F4018"/>
    <w:rsid w:val="00A02CD9"/>
    <w:rsid w:val="00A074A6"/>
    <w:rsid w:val="00A11510"/>
    <w:rsid w:val="00A152E6"/>
    <w:rsid w:val="00A21EC2"/>
    <w:rsid w:val="00A2447B"/>
    <w:rsid w:val="00A42A8A"/>
    <w:rsid w:val="00A43DCE"/>
    <w:rsid w:val="00A46DB0"/>
    <w:rsid w:val="00AA3FA2"/>
    <w:rsid w:val="00AA49E5"/>
    <w:rsid w:val="00AA6BAD"/>
    <w:rsid w:val="00AC49D1"/>
    <w:rsid w:val="00AC514A"/>
    <w:rsid w:val="00AC520A"/>
    <w:rsid w:val="00AC56DE"/>
    <w:rsid w:val="00AC7189"/>
    <w:rsid w:val="00AD4E4F"/>
    <w:rsid w:val="00AE5689"/>
    <w:rsid w:val="00AF586E"/>
    <w:rsid w:val="00B00AA3"/>
    <w:rsid w:val="00B03F07"/>
    <w:rsid w:val="00B054C7"/>
    <w:rsid w:val="00B23455"/>
    <w:rsid w:val="00B2717D"/>
    <w:rsid w:val="00B374BC"/>
    <w:rsid w:val="00B54731"/>
    <w:rsid w:val="00B56805"/>
    <w:rsid w:val="00B825DC"/>
    <w:rsid w:val="00B8282B"/>
    <w:rsid w:val="00B86C6B"/>
    <w:rsid w:val="00B91069"/>
    <w:rsid w:val="00BA017C"/>
    <w:rsid w:val="00BA0703"/>
    <w:rsid w:val="00BB3342"/>
    <w:rsid w:val="00BC2315"/>
    <w:rsid w:val="00BC744B"/>
    <w:rsid w:val="00BC7957"/>
    <w:rsid w:val="00BF566C"/>
    <w:rsid w:val="00C24019"/>
    <w:rsid w:val="00C335CF"/>
    <w:rsid w:val="00C4781C"/>
    <w:rsid w:val="00C51803"/>
    <w:rsid w:val="00C54EE1"/>
    <w:rsid w:val="00C60338"/>
    <w:rsid w:val="00C72BEC"/>
    <w:rsid w:val="00C7601B"/>
    <w:rsid w:val="00C7764D"/>
    <w:rsid w:val="00C80551"/>
    <w:rsid w:val="00C97BDD"/>
    <w:rsid w:val="00CA351D"/>
    <w:rsid w:val="00CB4992"/>
    <w:rsid w:val="00CB7696"/>
    <w:rsid w:val="00CC1633"/>
    <w:rsid w:val="00CC7C5A"/>
    <w:rsid w:val="00CD2403"/>
    <w:rsid w:val="00CF53CD"/>
    <w:rsid w:val="00D00CB0"/>
    <w:rsid w:val="00D10EE0"/>
    <w:rsid w:val="00D3097D"/>
    <w:rsid w:val="00D3504D"/>
    <w:rsid w:val="00D51EF4"/>
    <w:rsid w:val="00D551A0"/>
    <w:rsid w:val="00D74434"/>
    <w:rsid w:val="00D828F7"/>
    <w:rsid w:val="00D871E3"/>
    <w:rsid w:val="00D87A13"/>
    <w:rsid w:val="00D87B5C"/>
    <w:rsid w:val="00D87ECC"/>
    <w:rsid w:val="00DA59EE"/>
    <w:rsid w:val="00DA7337"/>
    <w:rsid w:val="00DE5846"/>
    <w:rsid w:val="00E17E20"/>
    <w:rsid w:val="00E241A0"/>
    <w:rsid w:val="00E27169"/>
    <w:rsid w:val="00E506EB"/>
    <w:rsid w:val="00E67DF0"/>
    <w:rsid w:val="00E73666"/>
    <w:rsid w:val="00E801FC"/>
    <w:rsid w:val="00E81CD1"/>
    <w:rsid w:val="00E83450"/>
    <w:rsid w:val="00E916BE"/>
    <w:rsid w:val="00E944A4"/>
    <w:rsid w:val="00E95866"/>
    <w:rsid w:val="00EB5671"/>
    <w:rsid w:val="00EB5F1B"/>
    <w:rsid w:val="00EB7EA9"/>
    <w:rsid w:val="00EC4BF6"/>
    <w:rsid w:val="00ED5942"/>
    <w:rsid w:val="00EE1CB9"/>
    <w:rsid w:val="00EF559C"/>
    <w:rsid w:val="00F07EFB"/>
    <w:rsid w:val="00F10873"/>
    <w:rsid w:val="00F20283"/>
    <w:rsid w:val="00F35EF5"/>
    <w:rsid w:val="00F4373C"/>
    <w:rsid w:val="00F44E4C"/>
    <w:rsid w:val="00F51C81"/>
    <w:rsid w:val="00F5205D"/>
    <w:rsid w:val="00F64EA7"/>
    <w:rsid w:val="00F825B2"/>
    <w:rsid w:val="00F832D9"/>
    <w:rsid w:val="00F84218"/>
    <w:rsid w:val="00F93E45"/>
    <w:rsid w:val="00FC39E4"/>
    <w:rsid w:val="00FD0583"/>
    <w:rsid w:val="00FD2978"/>
    <w:rsid w:val="00FD35F1"/>
    <w:rsid w:val="00FE7ED8"/>
    <w:rsid w:val="00FF4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C51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451D"/>
    <w:pPr>
      <w:keepNext/>
      <w:keepLines/>
      <w:numPr>
        <w:numId w:val="17"/>
      </w:numPr>
      <w:spacing w:before="240" w:after="0"/>
      <w:outlineLvl w:val="0"/>
    </w:pPr>
    <w:rPr>
      <w:rFonts w:asciiTheme="majorHAnsi" w:eastAsiaTheme="majorEastAsia" w:hAnsiTheme="majorHAnsi" w:cstheme="majorBidi"/>
      <w:b/>
      <w:caps/>
      <w:color w:val="000000" w:themeColor="text1"/>
      <w:szCs w:val="32"/>
    </w:rPr>
  </w:style>
  <w:style w:type="paragraph" w:styleId="Heading2">
    <w:name w:val="heading 2"/>
    <w:basedOn w:val="Normal"/>
    <w:next w:val="Normal"/>
    <w:link w:val="Heading2Char"/>
    <w:uiPriority w:val="9"/>
    <w:unhideWhenUsed/>
    <w:qFormat/>
    <w:rsid w:val="00FF451D"/>
    <w:pPr>
      <w:keepNext/>
      <w:keepLines/>
      <w:spacing w:before="40" w:after="0"/>
      <w:outlineLvl w:val="1"/>
    </w:pPr>
    <w:rPr>
      <w:rFonts w:asciiTheme="majorHAnsi" w:eastAsiaTheme="majorEastAsia" w:hAnsiTheme="majorHAnsi" w:cstheme="majorBidi"/>
      <w:b/>
      <w:color w:val="000000" w:themeColor="text1"/>
      <w:szCs w:val="26"/>
    </w:rPr>
  </w:style>
  <w:style w:type="paragraph" w:styleId="Heading3">
    <w:name w:val="heading 3"/>
    <w:basedOn w:val="Normal"/>
    <w:next w:val="Normal"/>
    <w:link w:val="Heading3Char"/>
    <w:uiPriority w:val="9"/>
    <w:semiHidden/>
    <w:unhideWhenUsed/>
    <w:qFormat/>
    <w:rsid w:val="00FF451D"/>
    <w:pPr>
      <w:keepNext/>
      <w:keepLines/>
      <w:numPr>
        <w:numId w:val="1"/>
      </w:numPr>
      <w:spacing w:before="40" w:after="0"/>
      <w:outlineLvl w:val="2"/>
    </w:pPr>
    <w:rPr>
      <w:rFonts w:asciiTheme="majorHAnsi" w:eastAsiaTheme="majorEastAsia" w:hAnsiTheme="majorHAnsi" w:cstheme="majorBidi"/>
      <w:color w:val="000000" w:themeColor="text1"/>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451D"/>
    <w:pPr>
      <w:spacing w:after="0" w:line="240" w:lineRule="auto"/>
      <w:contextualSpacing/>
    </w:pPr>
    <w:rPr>
      <w:rFonts w:asciiTheme="majorHAnsi" w:eastAsiaTheme="majorEastAsia" w:hAnsiTheme="majorHAnsi" w:cstheme="majorBidi"/>
      <w:b/>
      <w:caps/>
      <w:spacing w:val="-10"/>
      <w:kern w:val="28"/>
      <w:sz w:val="32"/>
      <w:szCs w:val="56"/>
    </w:rPr>
  </w:style>
  <w:style w:type="character" w:customStyle="1" w:styleId="TitleChar">
    <w:name w:val="Title Char"/>
    <w:basedOn w:val="DefaultParagraphFont"/>
    <w:link w:val="Title"/>
    <w:uiPriority w:val="10"/>
    <w:rsid w:val="00FF451D"/>
    <w:rPr>
      <w:rFonts w:asciiTheme="majorHAnsi" w:eastAsiaTheme="majorEastAsia" w:hAnsiTheme="majorHAnsi" w:cstheme="majorBidi"/>
      <w:b/>
      <w:caps/>
      <w:spacing w:val="-10"/>
      <w:kern w:val="28"/>
      <w:sz w:val="32"/>
      <w:szCs w:val="56"/>
    </w:rPr>
  </w:style>
  <w:style w:type="paragraph" w:styleId="Header">
    <w:name w:val="header"/>
    <w:basedOn w:val="Normal"/>
    <w:link w:val="HeaderChar"/>
    <w:uiPriority w:val="99"/>
    <w:unhideWhenUsed/>
    <w:rsid w:val="00376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126"/>
  </w:style>
  <w:style w:type="paragraph" w:styleId="Footer">
    <w:name w:val="footer"/>
    <w:basedOn w:val="Normal"/>
    <w:link w:val="FooterChar"/>
    <w:uiPriority w:val="99"/>
    <w:unhideWhenUsed/>
    <w:rsid w:val="00376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126"/>
  </w:style>
  <w:style w:type="character" w:customStyle="1" w:styleId="Heading1Char">
    <w:name w:val="Heading 1 Char"/>
    <w:basedOn w:val="DefaultParagraphFont"/>
    <w:link w:val="Heading1"/>
    <w:uiPriority w:val="9"/>
    <w:rsid w:val="00FF451D"/>
    <w:rPr>
      <w:rFonts w:asciiTheme="majorHAnsi" w:eastAsiaTheme="majorEastAsia" w:hAnsiTheme="majorHAnsi" w:cstheme="majorBidi"/>
      <w:b/>
      <w:caps/>
      <w:color w:val="000000" w:themeColor="text1"/>
      <w:szCs w:val="32"/>
    </w:rPr>
  </w:style>
  <w:style w:type="character" w:customStyle="1" w:styleId="Heading2Char">
    <w:name w:val="Heading 2 Char"/>
    <w:basedOn w:val="DefaultParagraphFont"/>
    <w:link w:val="Heading2"/>
    <w:uiPriority w:val="9"/>
    <w:rsid w:val="00FF451D"/>
    <w:rPr>
      <w:rFonts w:asciiTheme="majorHAnsi" w:eastAsiaTheme="majorEastAsia" w:hAnsiTheme="majorHAnsi" w:cstheme="majorBidi"/>
      <w:b/>
      <w:color w:val="000000" w:themeColor="text1"/>
      <w:szCs w:val="26"/>
    </w:rPr>
  </w:style>
  <w:style w:type="character" w:customStyle="1" w:styleId="Heading3Char">
    <w:name w:val="Heading 3 Char"/>
    <w:basedOn w:val="DefaultParagraphFont"/>
    <w:link w:val="Heading3"/>
    <w:uiPriority w:val="9"/>
    <w:semiHidden/>
    <w:rsid w:val="00FF451D"/>
    <w:rPr>
      <w:rFonts w:asciiTheme="majorHAnsi" w:eastAsiaTheme="majorEastAsia" w:hAnsiTheme="majorHAnsi" w:cstheme="majorBidi"/>
      <w:color w:val="000000" w:themeColor="text1"/>
      <w:szCs w:val="24"/>
      <w:u w:val="single"/>
    </w:rPr>
  </w:style>
  <w:style w:type="paragraph" w:styleId="ListParagraph">
    <w:name w:val="List Paragraph"/>
    <w:basedOn w:val="Normal"/>
    <w:uiPriority w:val="34"/>
    <w:qFormat/>
    <w:rsid w:val="00362A61"/>
    <w:pPr>
      <w:ind w:left="720"/>
      <w:contextualSpacing/>
    </w:pPr>
  </w:style>
  <w:style w:type="character" w:styleId="CommentReference">
    <w:name w:val="annotation reference"/>
    <w:basedOn w:val="DefaultParagraphFont"/>
    <w:uiPriority w:val="99"/>
    <w:semiHidden/>
    <w:unhideWhenUsed/>
    <w:rsid w:val="009430EE"/>
    <w:rPr>
      <w:sz w:val="16"/>
      <w:szCs w:val="16"/>
    </w:rPr>
  </w:style>
  <w:style w:type="paragraph" w:styleId="CommentText">
    <w:name w:val="annotation text"/>
    <w:basedOn w:val="Normal"/>
    <w:link w:val="CommentTextChar"/>
    <w:uiPriority w:val="99"/>
    <w:unhideWhenUsed/>
    <w:rsid w:val="009430EE"/>
    <w:pPr>
      <w:spacing w:line="240" w:lineRule="auto"/>
    </w:pPr>
    <w:rPr>
      <w:sz w:val="20"/>
      <w:szCs w:val="20"/>
    </w:rPr>
  </w:style>
  <w:style w:type="character" w:customStyle="1" w:styleId="CommentTextChar">
    <w:name w:val="Comment Text Char"/>
    <w:basedOn w:val="DefaultParagraphFont"/>
    <w:link w:val="CommentText"/>
    <w:uiPriority w:val="99"/>
    <w:rsid w:val="009430EE"/>
    <w:rPr>
      <w:sz w:val="20"/>
      <w:szCs w:val="20"/>
    </w:rPr>
  </w:style>
  <w:style w:type="paragraph" w:styleId="CommentSubject">
    <w:name w:val="annotation subject"/>
    <w:basedOn w:val="CommentText"/>
    <w:next w:val="CommentText"/>
    <w:link w:val="CommentSubjectChar"/>
    <w:uiPriority w:val="99"/>
    <w:semiHidden/>
    <w:unhideWhenUsed/>
    <w:rsid w:val="009430EE"/>
    <w:rPr>
      <w:b/>
      <w:bCs/>
    </w:rPr>
  </w:style>
  <w:style w:type="character" w:customStyle="1" w:styleId="CommentSubjectChar">
    <w:name w:val="Comment Subject Char"/>
    <w:basedOn w:val="CommentTextChar"/>
    <w:link w:val="CommentSubject"/>
    <w:uiPriority w:val="99"/>
    <w:semiHidden/>
    <w:rsid w:val="009430EE"/>
    <w:rPr>
      <w:b/>
      <w:bCs/>
      <w:sz w:val="20"/>
      <w:szCs w:val="20"/>
    </w:rPr>
  </w:style>
  <w:style w:type="paragraph" w:styleId="BalloonText">
    <w:name w:val="Balloon Text"/>
    <w:basedOn w:val="Normal"/>
    <w:link w:val="BalloonTextChar"/>
    <w:uiPriority w:val="99"/>
    <w:semiHidden/>
    <w:unhideWhenUsed/>
    <w:rsid w:val="00943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0EE"/>
    <w:rPr>
      <w:rFonts w:ascii="Segoe UI" w:hAnsi="Segoe UI" w:cs="Segoe UI"/>
      <w:sz w:val="18"/>
      <w:szCs w:val="18"/>
    </w:rPr>
  </w:style>
  <w:style w:type="paragraph" w:styleId="Revision">
    <w:name w:val="Revision"/>
    <w:hidden/>
    <w:uiPriority w:val="99"/>
    <w:semiHidden/>
    <w:rsid w:val="005967B2"/>
    <w:pPr>
      <w:spacing w:after="0" w:line="240" w:lineRule="auto"/>
    </w:pPr>
  </w:style>
  <w:style w:type="paragraph" w:styleId="FootnoteText">
    <w:name w:val="footnote text"/>
    <w:basedOn w:val="Normal"/>
    <w:link w:val="FootnoteTextChar"/>
    <w:uiPriority w:val="99"/>
    <w:semiHidden/>
    <w:unhideWhenUsed/>
    <w:rsid w:val="00AA49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49E5"/>
    <w:rPr>
      <w:sz w:val="20"/>
      <w:szCs w:val="20"/>
    </w:rPr>
  </w:style>
  <w:style w:type="character" w:styleId="FootnoteReference">
    <w:name w:val="footnote reference"/>
    <w:basedOn w:val="DefaultParagraphFont"/>
    <w:uiPriority w:val="99"/>
    <w:semiHidden/>
    <w:unhideWhenUsed/>
    <w:rsid w:val="00AA49E5"/>
    <w:rPr>
      <w:vertAlign w:val="superscript"/>
    </w:rPr>
  </w:style>
  <w:style w:type="numbering" w:customStyle="1" w:styleId="Style1">
    <w:name w:val="Style1"/>
    <w:uiPriority w:val="99"/>
    <w:rsid w:val="00AC520A"/>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8814">
      <w:bodyDiv w:val="1"/>
      <w:marLeft w:val="0"/>
      <w:marRight w:val="0"/>
      <w:marTop w:val="0"/>
      <w:marBottom w:val="0"/>
      <w:divBdr>
        <w:top w:val="none" w:sz="0" w:space="0" w:color="auto"/>
        <w:left w:val="none" w:sz="0" w:space="0" w:color="auto"/>
        <w:bottom w:val="none" w:sz="0" w:space="0" w:color="auto"/>
        <w:right w:val="none" w:sz="0" w:space="0" w:color="auto"/>
      </w:divBdr>
      <w:divsChild>
        <w:div w:id="1475835498">
          <w:marLeft w:val="446"/>
          <w:marRight w:val="0"/>
          <w:marTop w:val="200"/>
          <w:marBottom w:val="0"/>
          <w:divBdr>
            <w:top w:val="none" w:sz="0" w:space="0" w:color="auto"/>
            <w:left w:val="none" w:sz="0" w:space="0" w:color="auto"/>
            <w:bottom w:val="none" w:sz="0" w:space="0" w:color="auto"/>
            <w:right w:val="none" w:sz="0" w:space="0" w:color="auto"/>
          </w:divBdr>
        </w:div>
        <w:div w:id="833178298">
          <w:marLeft w:val="446"/>
          <w:marRight w:val="0"/>
          <w:marTop w:val="200"/>
          <w:marBottom w:val="0"/>
          <w:divBdr>
            <w:top w:val="none" w:sz="0" w:space="0" w:color="auto"/>
            <w:left w:val="none" w:sz="0" w:space="0" w:color="auto"/>
            <w:bottom w:val="none" w:sz="0" w:space="0" w:color="auto"/>
            <w:right w:val="none" w:sz="0" w:space="0" w:color="auto"/>
          </w:divBdr>
        </w:div>
        <w:div w:id="502355127">
          <w:marLeft w:val="446"/>
          <w:marRight w:val="0"/>
          <w:marTop w:val="200"/>
          <w:marBottom w:val="0"/>
          <w:divBdr>
            <w:top w:val="none" w:sz="0" w:space="0" w:color="auto"/>
            <w:left w:val="none" w:sz="0" w:space="0" w:color="auto"/>
            <w:bottom w:val="none" w:sz="0" w:space="0" w:color="auto"/>
            <w:right w:val="none" w:sz="0" w:space="0" w:color="auto"/>
          </w:divBdr>
        </w:div>
      </w:divsChild>
    </w:div>
    <w:div w:id="845557802">
      <w:bodyDiv w:val="1"/>
      <w:marLeft w:val="0"/>
      <w:marRight w:val="0"/>
      <w:marTop w:val="0"/>
      <w:marBottom w:val="0"/>
      <w:divBdr>
        <w:top w:val="none" w:sz="0" w:space="0" w:color="auto"/>
        <w:left w:val="none" w:sz="0" w:space="0" w:color="auto"/>
        <w:bottom w:val="none" w:sz="0" w:space="0" w:color="auto"/>
        <w:right w:val="none" w:sz="0" w:space="0" w:color="auto"/>
      </w:divBdr>
      <w:divsChild>
        <w:div w:id="803355911">
          <w:marLeft w:val="446"/>
          <w:marRight w:val="0"/>
          <w:marTop w:val="0"/>
          <w:marBottom w:val="0"/>
          <w:divBdr>
            <w:top w:val="none" w:sz="0" w:space="0" w:color="auto"/>
            <w:left w:val="none" w:sz="0" w:space="0" w:color="auto"/>
            <w:bottom w:val="none" w:sz="0" w:space="0" w:color="auto"/>
            <w:right w:val="none" w:sz="0" w:space="0" w:color="auto"/>
          </w:divBdr>
        </w:div>
        <w:div w:id="382171484">
          <w:marLeft w:val="446"/>
          <w:marRight w:val="0"/>
          <w:marTop w:val="0"/>
          <w:marBottom w:val="0"/>
          <w:divBdr>
            <w:top w:val="none" w:sz="0" w:space="0" w:color="auto"/>
            <w:left w:val="none" w:sz="0" w:space="0" w:color="auto"/>
            <w:bottom w:val="none" w:sz="0" w:space="0" w:color="auto"/>
            <w:right w:val="none" w:sz="0" w:space="0" w:color="auto"/>
          </w:divBdr>
        </w:div>
        <w:div w:id="1305696771">
          <w:marLeft w:val="446"/>
          <w:marRight w:val="0"/>
          <w:marTop w:val="0"/>
          <w:marBottom w:val="0"/>
          <w:divBdr>
            <w:top w:val="none" w:sz="0" w:space="0" w:color="auto"/>
            <w:left w:val="none" w:sz="0" w:space="0" w:color="auto"/>
            <w:bottom w:val="none" w:sz="0" w:space="0" w:color="auto"/>
            <w:right w:val="none" w:sz="0" w:space="0" w:color="auto"/>
          </w:divBdr>
        </w:div>
        <w:div w:id="1377506153">
          <w:marLeft w:val="446"/>
          <w:marRight w:val="0"/>
          <w:marTop w:val="0"/>
          <w:marBottom w:val="0"/>
          <w:divBdr>
            <w:top w:val="none" w:sz="0" w:space="0" w:color="auto"/>
            <w:left w:val="none" w:sz="0" w:space="0" w:color="auto"/>
            <w:bottom w:val="none" w:sz="0" w:space="0" w:color="auto"/>
            <w:right w:val="none" w:sz="0" w:space="0" w:color="auto"/>
          </w:divBdr>
        </w:div>
        <w:div w:id="852886640">
          <w:marLeft w:val="446"/>
          <w:marRight w:val="0"/>
          <w:marTop w:val="0"/>
          <w:marBottom w:val="0"/>
          <w:divBdr>
            <w:top w:val="none" w:sz="0" w:space="0" w:color="auto"/>
            <w:left w:val="none" w:sz="0" w:space="0" w:color="auto"/>
            <w:bottom w:val="none" w:sz="0" w:space="0" w:color="auto"/>
            <w:right w:val="none" w:sz="0" w:space="0" w:color="auto"/>
          </w:divBdr>
        </w:div>
        <w:div w:id="18969180">
          <w:marLeft w:val="446"/>
          <w:marRight w:val="0"/>
          <w:marTop w:val="0"/>
          <w:marBottom w:val="0"/>
          <w:divBdr>
            <w:top w:val="none" w:sz="0" w:space="0" w:color="auto"/>
            <w:left w:val="none" w:sz="0" w:space="0" w:color="auto"/>
            <w:bottom w:val="none" w:sz="0" w:space="0" w:color="auto"/>
            <w:right w:val="none" w:sz="0" w:space="0" w:color="auto"/>
          </w:divBdr>
        </w:div>
        <w:div w:id="874347917">
          <w:marLeft w:val="446"/>
          <w:marRight w:val="0"/>
          <w:marTop w:val="0"/>
          <w:marBottom w:val="0"/>
          <w:divBdr>
            <w:top w:val="none" w:sz="0" w:space="0" w:color="auto"/>
            <w:left w:val="none" w:sz="0" w:space="0" w:color="auto"/>
            <w:bottom w:val="none" w:sz="0" w:space="0" w:color="auto"/>
            <w:right w:val="none" w:sz="0" w:space="0" w:color="auto"/>
          </w:divBdr>
        </w:div>
        <w:div w:id="1971786690">
          <w:marLeft w:val="446"/>
          <w:marRight w:val="0"/>
          <w:marTop w:val="0"/>
          <w:marBottom w:val="0"/>
          <w:divBdr>
            <w:top w:val="none" w:sz="0" w:space="0" w:color="auto"/>
            <w:left w:val="none" w:sz="0" w:space="0" w:color="auto"/>
            <w:bottom w:val="none" w:sz="0" w:space="0" w:color="auto"/>
            <w:right w:val="none" w:sz="0" w:space="0" w:color="auto"/>
          </w:divBdr>
        </w:div>
        <w:div w:id="318658672">
          <w:marLeft w:val="446"/>
          <w:marRight w:val="0"/>
          <w:marTop w:val="0"/>
          <w:marBottom w:val="0"/>
          <w:divBdr>
            <w:top w:val="none" w:sz="0" w:space="0" w:color="auto"/>
            <w:left w:val="none" w:sz="0" w:space="0" w:color="auto"/>
            <w:bottom w:val="none" w:sz="0" w:space="0" w:color="auto"/>
            <w:right w:val="none" w:sz="0" w:space="0" w:color="auto"/>
          </w:divBdr>
        </w:div>
        <w:div w:id="2098555280">
          <w:marLeft w:val="446"/>
          <w:marRight w:val="0"/>
          <w:marTop w:val="0"/>
          <w:marBottom w:val="0"/>
          <w:divBdr>
            <w:top w:val="none" w:sz="0" w:space="0" w:color="auto"/>
            <w:left w:val="none" w:sz="0" w:space="0" w:color="auto"/>
            <w:bottom w:val="none" w:sz="0" w:space="0" w:color="auto"/>
            <w:right w:val="none" w:sz="0" w:space="0" w:color="auto"/>
          </w:divBdr>
        </w:div>
        <w:div w:id="1762482919">
          <w:marLeft w:val="446"/>
          <w:marRight w:val="0"/>
          <w:marTop w:val="0"/>
          <w:marBottom w:val="0"/>
          <w:divBdr>
            <w:top w:val="none" w:sz="0" w:space="0" w:color="auto"/>
            <w:left w:val="none" w:sz="0" w:space="0" w:color="auto"/>
            <w:bottom w:val="none" w:sz="0" w:space="0" w:color="auto"/>
            <w:right w:val="none" w:sz="0" w:space="0" w:color="auto"/>
          </w:divBdr>
        </w:div>
      </w:divsChild>
    </w:div>
    <w:div w:id="944464797">
      <w:bodyDiv w:val="1"/>
      <w:marLeft w:val="0"/>
      <w:marRight w:val="0"/>
      <w:marTop w:val="0"/>
      <w:marBottom w:val="0"/>
      <w:divBdr>
        <w:top w:val="none" w:sz="0" w:space="0" w:color="auto"/>
        <w:left w:val="none" w:sz="0" w:space="0" w:color="auto"/>
        <w:bottom w:val="none" w:sz="0" w:space="0" w:color="auto"/>
        <w:right w:val="none" w:sz="0" w:space="0" w:color="auto"/>
      </w:divBdr>
      <w:divsChild>
        <w:div w:id="1449229443">
          <w:marLeft w:val="446"/>
          <w:marRight w:val="0"/>
          <w:marTop w:val="200"/>
          <w:marBottom w:val="0"/>
          <w:divBdr>
            <w:top w:val="none" w:sz="0" w:space="0" w:color="auto"/>
            <w:left w:val="none" w:sz="0" w:space="0" w:color="auto"/>
            <w:bottom w:val="none" w:sz="0" w:space="0" w:color="auto"/>
            <w:right w:val="none" w:sz="0" w:space="0" w:color="auto"/>
          </w:divBdr>
        </w:div>
        <w:div w:id="837116575">
          <w:marLeft w:val="446"/>
          <w:marRight w:val="0"/>
          <w:marTop w:val="200"/>
          <w:marBottom w:val="0"/>
          <w:divBdr>
            <w:top w:val="none" w:sz="0" w:space="0" w:color="auto"/>
            <w:left w:val="none" w:sz="0" w:space="0" w:color="auto"/>
            <w:bottom w:val="none" w:sz="0" w:space="0" w:color="auto"/>
            <w:right w:val="none" w:sz="0" w:space="0" w:color="auto"/>
          </w:divBdr>
        </w:div>
        <w:div w:id="1706371343">
          <w:marLeft w:val="1166"/>
          <w:marRight w:val="0"/>
          <w:marTop w:val="100"/>
          <w:marBottom w:val="0"/>
          <w:divBdr>
            <w:top w:val="none" w:sz="0" w:space="0" w:color="auto"/>
            <w:left w:val="none" w:sz="0" w:space="0" w:color="auto"/>
            <w:bottom w:val="none" w:sz="0" w:space="0" w:color="auto"/>
            <w:right w:val="none" w:sz="0" w:space="0" w:color="auto"/>
          </w:divBdr>
        </w:div>
        <w:div w:id="553583778">
          <w:marLeft w:val="446"/>
          <w:marRight w:val="0"/>
          <w:marTop w:val="200"/>
          <w:marBottom w:val="0"/>
          <w:divBdr>
            <w:top w:val="none" w:sz="0" w:space="0" w:color="auto"/>
            <w:left w:val="none" w:sz="0" w:space="0" w:color="auto"/>
            <w:bottom w:val="none" w:sz="0" w:space="0" w:color="auto"/>
            <w:right w:val="none" w:sz="0" w:space="0" w:color="auto"/>
          </w:divBdr>
        </w:div>
        <w:div w:id="1005330442">
          <w:marLeft w:val="1166"/>
          <w:marRight w:val="0"/>
          <w:marTop w:val="100"/>
          <w:marBottom w:val="0"/>
          <w:divBdr>
            <w:top w:val="none" w:sz="0" w:space="0" w:color="auto"/>
            <w:left w:val="none" w:sz="0" w:space="0" w:color="auto"/>
            <w:bottom w:val="none" w:sz="0" w:space="0" w:color="auto"/>
            <w:right w:val="none" w:sz="0" w:space="0" w:color="auto"/>
          </w:divBdr>
        </w:div>
        <w:div w:id="932930853">
          <w:marLeft w:val="1166"/>
          <w:marRight w:val="0"/>
          <w:marTop w:val="100"/>
          <w:marBottom w:val="0"/>
          <w:divBdr>
            <w:top w:val="none" w:sz="0" w:space="0" w:color="auto"/>
            <w:left w:val="none" w:sz="0" w:space="0" w:color="auto"/>
            <w:bottom w:val="none" w:sz="0" w:space="0" w:color="auto"/>
            <w:right w:val="none" w:sz="0" w:space="0" w:color="auto"/>
          </w:divBdr>
        </w:div>
        <w:div w:id="1994606459">
          <w:marLeft w:val="1166"/>
          <w:marRight w:val="0"/>
          <w:marTop w:val="100"/>
          <w:marBottom w:val="0"/>
          <w:divBdr>
            <w:top w:val="none" w:sz="0" w:space="0" w:color="auto"/>
            <w:left w:val="none" w:sz="0" w:space="0" w:color="auto"/>
            <w:bottom w:val="none" w:sz="0" w:space="0" w:color="auto"/>
            <w:right w:val="none" w:sz="0" w:space="0" w:color="auto"/>
          </w:divBdr>
        </w:div>
        <w:div w:id="681320585">
          <w:marLeft w:val="1166"/>
          <w:marRight w:val="0"/>
          <w:marTop w:val="100"/>
          <w:marBottom w:val="0"/>
          <w:divBdr>
            <w:top w:val="none" w:sz="0" w:space="0" w:color="auto"/>
            <w:left w:val="none" w:sz="0" w:space="0" w:color="auto"/>
            <w:bottom w:val="none" w:sz="0" w:space="0" w:color="auto"/>
            <w:right w:val="none" w:sz="0" w:space="0" w:color="auto"/>
          </w:divBdr>
        </w:div>
        <w:div w:id="646781892">
          <w:marLeft w:val="1166"/>
          <w:marRight w:val="0"/>
          <w:marTop w:val="100"/>
          <w:marBottom w:val="0"/>
          <w:divBdr>
            <w:top w:val="none" w:sz="0" w:space="0" w:color="auto"/>
            <w:left w:val="none" w:sz="0" w:space="0" w:color="auto"/>
            <w:bottom w:val="none" w:sz="0" w:space="0" w:color="auto"/>
            <w:right w:val="none" w:sz="0" w:space="0" w:color="auto"/>
          </w:divBdr>
        </w:div>
        <w:div w:id="428277925">
          <w:marLeft w:val="1166"/>
          <w:marRight w:val="0"/>
          <w:marTop w:val="100"/>
          <w:marBottom w:val="0"/>
          <w:divBdr>
            <w:top w:val="none" w:sz="0" w:space="0" w:color="auto"/>
            <w:left w:val="none" w:sz="0" w:space="0" w:color="auto"/>
            <w:bottom w:val="none" w:sz="0" w:space="0" w:color="auto"/>
            <w:right w:val="none" w:sz="0" w:space="0" w:color="auto"/>
          </w:divBdr>
        </w:div>
      </w:divsChild>
    </w:div>
    <w:div w:id="973371329">
      <w:bodyDiv w:val="1"/>
      <w:marLeft w:val="0"/>
      <w:marRight w:val="0"/>
      <w:marTop w:val="0"/>
      <w:marBottom w:val="0"/>
      <w:divBdr>
        <w:top w:val="none" w:sz="0" w:space="0" w:color="auto"/>
        <w:left w:val="none" w:sz="0" w:space="0" w:color="auto"/>
        <w:bottom w:val="none" w:sz="0" w:space="0" w:color="auto"/>
        <w:right w:val="none" w:sz="0" w:space="0" w:color="auto"/>
      </w:divBdr>
      <w:divsChild>
        <w:div w:id="511530842">
          <w:marLeft w:val="1166"/>
          <w:marRight w:val="0"/>
          <w:marTop w:val="100"/>
          <w:marBottom w:val="160"/>
          <w:divBdr>
            <w:top w:val="none" w:sz="0" w:space="0" w:color="auto"/>
            <w:left w:val="none" w:sz="0" w:space="0" w:color="auto"/>
            <w:bottom w:val="none" w:sz="0" w:space="0" w:color="auto"/>
            <w:right w:val="none" w:sz="0" w:space="0" w:color="auto"/>
          </w:divBdr>
        </w:div>
      </w:divsChild>
    </w:div>
    <w:div w:id="1306475087">
      <w:bodyDiv w:val="1"/>
      <w:marLeft w:val="0"/>
      <w:marRight w:val="0"/>
      <w:marTop w:val="0"/>
      <w:marBottom w:val="0"/>
      <w:divBdr>
        <w:top w:val="none" w:sz="0" w:space="0" w:color="auto"/>
        <w:left w:val="none" w:sz="0" w:space="0" w:color="auto"/>
        <w:bottom w:val="none" w:sz="0" w:space="0" w:color="auto"/>
        <w:right w:val="none" w:sz="0" w:space="0" w:color="auto"/>
      </w:divBdr>
    </w:div>
    <w:div w:id="1738431883">
      <w:bodyDiv w:val="1"/>
      <w:marLeft w:val="0"/>
      <w:marRight w:val="0"/>
      <w:marTop w:val="0"/>
      <w:marBottom w:val="0"/>
      <w:divBdr>
        <w:top w:val="none" w:sz="0" w:space="0" w:color="auto"/>
        <w:left w:val="none" w:sz="0" w:space="0" w:color="auto"/>
        <w:bottom w:val="none" w:sz="0" w:space="0" w:color="auto"/>
        <w:right w:val="none" w:sz="0" w:space="0" w:color="auto"/>
      </w:divBdr>
      <w:divsChild>
        <w:div w:id="713390124">
          <w:marLeft w:val="446"/>
          <w:marRight w:val="0"/>
          <w:marTop w:val="200"/>
          <w:marBottom w:val="0"/>
          <w:divBdr>
            <w:top w:val="none" w:sz="0" w:space="0" w:color="auto"/>
            <w:left w:val="none" w:sz="0" w:space="0" w:color="auto"/>
            <w:bottom w:val="none" w:sz="0" w:space="0" w:color="auto"/>
            <w:right w:val="none" w:sz="0" w:space="0" w:color="auto"/>
          </w:divBdr>
        </w:div>
        <w:div w:id="32388992">
          <w:marLeft w:val="1166"/>
          <w:marRight w:val="0"/>
          <w:marTop w:val="100"/>
          <w:marBottom w:val="0"/>
          <w:divBdr>
            <w:top w:val="none" w:sz="0" w:space="0" w:color="auto"/>
            <w:left w:val="none" w:sz="0" w:space="0" w:color="auto"/>
            <w:bottom w:val="none" w:sz="0" w:space="0" w:color="auto"/>
            <w:right w:val="none" w:sz="0" w:space="0" w:color="auto"/>
          </w:divBdr>
        </w:div>
        <w:div w:id="605504348">
          <w:marLeft w:val="1166"/>
          <w:marRight w:val="0"/>
          <w:marTop w:val="100"/>
          <w:marBottom w:val="0"/>
          <w:divBdr>
            <w:top w:val="none" w:sz="0" w:space="0" w:color="auto"/>
            <w:left w:val="none" w:sz="0" w:space="0" w:color="auto"/>
            <w:bottom w:val="none" w:sz="0" w:space="0" w:color="auto"/>
            <w:right w:val="none" w:sz="0" w:space="0" w:color="auto"/>
          </w:divBdr>
        </w:div>
        <w:div w:id="1294560092">
          <w:marLeft w:val="1166"/>
          <w:marRight w:val="0"/>
          <w:marTop w:val="100"/>
          <w:marBottom w:val="0"/>
          <w:divBdr>
            <w:top w:val="none" w:sz="0" w:space="0" w:color="auto"/>
            <w:left w:val="none" w:sz="0" w:space="0" w:color="auto"/>
            <w:bottom w:val="none" w:sz="0" w:space="0" w:color="auto"/>
            <w:right w:val="none" w:sz="0" w:space="0" w:color="auto"/>
          </w:divBdr>
        </w:div>
        <w:div w:id="283119486">
          <w:marLeft w:val="446"/>
          <w:marRight w:val="0"/>
          <w:marTop w:val="200"/>
          <w:marBottom w:val="0"/>
          <w:divBdr>
            <w:top w:val="none" w:sz="0" w:space="0" w:color="auto"/>
            <w:left w:val="none" w:sz="0" w:space="0" w:color="auto"/>
            <w:bottom w:val="none" w:sz="0" w:space="0" w:color="auto"/>
            <w:right w:val="none" w:sz="0" w:space="0" w:color="auto"/>
          </w:divBdr>
        </w:div>
        <w:div w:id="2145921822">
          <w:marLeft w:val="1166"/>
          <w:marRight w:val="0"/>
          <w:marTop w:val="100"/>
          <w:marBottom w:val="0"/>
          <w:divBdr>
            <w:top w:val="none" w:sz="0" w:space="0" w:color="auto"/>
            <w:left w:val="none" w:sz="0" w:space="0" w:color="auto"/>
            <w:bottom w:val="none" w:sz="0" w:space="0" w:color="auto"/>
            <w:right w:val="none" w:sz="0" w:space="0" w:color="auto"/>
          </w:divBdr>
        </w:div>
        <w:div w:id="1575360693">
          <w:marLeft w:val="1166"/>
          <w:marRight w:val="0"/>
          <w:marTop w:val="100"/>
          <w:marBottom w:val="0"/>
          <w:divBdr>
            <w:top w:val="none" w:sz="0" w:space="0" w:color="auto"/>
            <w:left w:val="none" w:sz="0" w:space="0" w:color="auto"/>
            <w:bottom w:val="none" w:sz="0" w:space="0" w:color="auto"/>
            <w:right w:val="none" w:sz="0" w:space="0" w:color="auto"/>
          </w:divBdr>
        </w:div>
      </w:divsChild>
    </w:div>
    <w:div w:id="1989820447">
      <w:bodyDiv w:val="1"/>
      <w:marLeft w:val="0"/>
      <w:marRight w:val="0"/>
      <w:marTop w:val="0"/>
      <w:marBottom w:val="0"/>
      <w:divBdr>
        <w:top w:val="none" w:sz="0" w:space="0" w:color="auto"/>
        <w:left w:val="none" w:sz="0" w:space="0" w:color="auto"/>
        <w:bottom w:val="none" w:sz="0" w:space="0" w:color="auto"/>
        <w:right w:val="none" w:sz="0" w:space="0" w:color="auto"/>
      </w:divBdr>
    </w:div>
    <w:div w:id="2014797996">
      <w:bodyDiv w:val="1"/>
      <w:marLeft w:val="0"/>
      <w:marRight w:val="0"/>
      <w:marTop w:val="0"/>
      <w:marBottom w:val="0"/>
      <w:divBdr>
        <w:top w:val="none" w:sz="0" w:space="0" w:color="auto"/>
        <w:left w:val="none" w:sz="0" w:space="0" w:color="auto"/>
        <w:bottom w:val="none" w:sz="0" w:space="0" w:color="auto"/>
        <w:right w:val="none" w:sz="0" w:space="0" w:color="auto"/>
      </w:divBdr>
      <w:divsChild>
        <w:div w:id="1426920149">
          <w:marLeft w:val="1166"/>
          <w:marRight w:val="0"/>
          <w:marTop w:val="10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ACER_Documen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FD057-3453-41CE-9FA1-7C8FB6FB3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3362</Words>
  <Characters>19168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2023-09-28T11:15:00Z</dcterms:created>
  <dcterms:modified xsi:type="dcterms:W3CDTF">2023-09-28T11:15:00Z</dcterms:modified>
</cp:coreProperties>
</file>